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75638" w14:textId="77777777" w:rsidR="004515F1" w:rsidRPr="00560845" w:rsidRDefault="004515F1" w:rsidP="004515F1">
      <w:pPr>
        <w:autoSpaceDE w:val="0"/>
        <w:autoSpaceDN w:val="0"/>
        <w:adjustRightInd w:val="0"/>
        <w:spacing w:after="360" w:line="259" w:lineRule="auto"/>
        <w:jc w:val="center"/>
        <w:rPr>
          <w:b/>
          <w:bCs/>
          <w:color w:val="000000"/>
          <w:sz w:val="96"/>
          <w:szCs w:val="96"/>
        </w:rPr>
      </w:pPr>
      <w:r w:rsidRPr="00560845">
        <w:rPr>
          <w:b/>
          <w:bCs/>
          <w:color w:val="000000"/>
          <w:sz w:val="96"/>
          <w:szCs w:val="96"/>
        </w:rPr>
        <w:t>LA NUOVA</w:t>
      </w:r>
      <w:r w:rsidR="009C67EC">
        <w:rPr>
          <w:b/>
          <w:bCs/>
          <w:color w:val="000000"/>
          <w:sz w:val="96"/>
          <w:szCs w:val="96"/>
        </w:rPr>
        <w:t xml:space="preserve"> </w:t>
      </w:r>
      <w:r w:rsidRPr="00560845">
        <w:rPr>
          <w:b/>
          <w:bCs/>
          <w:color w:val="000000"/>
          <w:sz w:val="96"/>
          <w:szCs w:val="96"/>
        </w:rPr>
        <w:t>IMU</w:t>
      </w:r>
    </w:p>
    <w:p w14:paraId="50634FC0" w14:textId="77777777" w:rsidR="004515F1" w:rsidRPr="00560845" w:rsidRDefault="004515F1" w:rsidP="004515F1">
      <w:pPr>
        <w:autoSpaceDE w:val="0"/>
        <w:autoSpaceDN w:val="0"/>
        <w:adjustRightInd w:val="0"/>
        <w:spacing w:after="360" w:line="259" w:lineRule="auto"/>
        <w:jc w:val="center"/>
        <w:rPr>
          <w:b/>
          <w:bCs/>
          <w:color w:val="000000"/>
          <w:sz w:val="96"/>
          <w:szCs w:val="96"/>
        </w:rPr>
      </w:pPr>
    </w:p>
    <w:p w14:paraId="0CF75571" w14:textId="77777777" w:rsidR="004515F1" w:rsidRPr="00560845" w:rsidRDefault="004515F1" w:rsidP="004515F1">
      <w:pPr>
        <w:autoSpaceDE w:val="0"/>
        <w:autoSpaceDN w:val="0"/>
        <w:adjustRightInd w:val="0"/>
        <w:spacing w:after="360" w:line="259" w:lineRule="auto"/>
        <w:jc w:val="center"/>
      </w:pPr>
      <w:r w:rsidRPr="00560845">
        <w:fldChar w:fldCharType="begin"/>
      </w:r>
      <w:r w:rsidRPr="00560845">
        <w:instrText xml:space="preserve"> INCLUDEPICTURE "https://encrypted-tbn0.gstatic.com/images?q=tbn%3AANd9GcTNiRdye1-sV3L58BcCV6yt3PepJGddwbssLsoU4kztEI2cNyx1&amp;usqp=CAU" \* MERGEFORMATINET </w:instrText>
      </w:r>
      <w:r w:rsidRPr="00560845">
        <w:fldChar w:fldCharType="separate"/>
      </w:r>
      <w:r w:rsidRPr="00560845">
        <w:pict w14:anchorId="14CFE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uova Imu nel 2020: più cara della vecchia imposta | Altroconsumo" style="width:330.75pt;height:185.25pt">
            <v:imagedata r:id="rId7" r:href="rId8"/>
          </v:shape>
        </w:pict>
      </w:r>
      <w:r w:rsidRPr="00560845">
        <w:fldChar w:fldCharType="end"/>
      </w:r>
    </w:p>
    <w:p w14:paraId="0795779E" w14:textId="77777777" w:rsidR="004515F1" w:rsidRPr="00560845" w:rsidRDefault="004515F1" w:rsidP="004515F1">
      <w:pPr>
        <w:autoSpaceDE w:val="0"/>
        <w:autoSpaceDN w:val="0"/>
        <w:adjustRightInd w:val="0"/>
        <w:spacing w:after="360" w:line="259" w:lineRule="auto"/>
        <w:jc w:val="center"/>
        <w:rPr>
          <w:b/>
          <w:bCs/>
          <w:color w:val="000000"/>
          <w:sz w:val="96"/>
          <w:szCs w:val="96"/>
        </w:rPr>
      </w:pPr>
    </w:p>
    <w:p w14:paraId="0C1A9848" w14:textId="77777777" w:rsidR="004515F1" w:rsidRPr="00560845" w:rsidRDefault="004515F1" w:rsidP="004515F1">
      <w:pPr>
        <w:autoSpaceDE w:val="0"/>
        <w:autoSpaceDN w:val="0"/>
        <w:adjustRightInd w:val="0"/>
        <w:spacing w:after="360" w:line="259" w:lineRule="auto"/>
        <w:jc w:val="center"/>
        <w:rPr>
          <w:b/>
          <w:bCs/>
          <w:color w:val="000000"/>
          <w:sz w:val="40"/>
          <w:szCs w:val="40"/>
        </w:rPr>
      </w:pPr>
      <w:r w:rsidRPr="00560845">
        <w:rPr>
          <w:b/>
          <w:bCs/>
          <w:color w:val="000000"/>
          <w:sz w:val="40"/>
          <w:szCs w:val="40"/>
        </w:rPr>
        <w:t xml:space="preserve">OPUSCOLO </w:t>
      </w:r>
      <w:r w:rsidR="00560845">
        <w:rPr>
          <w:b/>
          <w:bCs/>
          <w:color w:val="000000"/>
          <w:sz w:val="40"/>
          <w:szCs w:val="40"/>
        </w:rPr>
        <w:t>per</w:t>
      </w:r>
      <w:r w:rsidRPr="00560845">
        <w:rPr>
          <w:b/>
          <w:bCs/>
          <w:color w:val="000000"/>
          <w:sz w:val="40"/>
          <w:szCs w:val="40"/>
        </w:rPr>
        <w:t xml:space="preserve"> URP e CITTADINI</w:t>
      </w:r>
    </w:p>
    <w:p w14:paraId="7350B840" w14:textId="77777777" w:rsidR="005D4037" w:rsidRPr="00560845" w:rsidRDefault="004515F1" w:rsidP="004515F1">
      <w:pPr>
        <w:pBdr>
          <w:top w:val="single" w:sz="4" w:space="1" w:color="auto"/>
          <w:left w:val="single" w:sz="4" w:space="4" w:color="auto"/>
          <w:bottom w:val="single" w:sz="4" w:space="1" w:color="auto"/>
          <w:right w:val="single" w:sz="4" w:space="4" w:color="auto"/>
        </w:pBdr>
        <w:autoSpaceDE w:val="0"/>
        <w:autoSpaceDN w:val="0"/>
        <w:adjustRightInd w:val="0"/>
        <w:spacing w:after="360" w:line="259" w:lineRule="auto"/>
        <w:jc w:val="center"/>
        <w:rPr>
          <w:b/>
          <w:bCs/>
          <w:color w:val="000000"/>
          <w:sz w:val="28"/>
          <w:szCs w:val="28"/>
        </w:rPr>
      </w:pPr>
      <w:r w:rsidRPr="00560845">
        <w:rPr>
          <w:b/>
          <w:bCs/>
          <w:color w:val="000000"/>
          <w:sz w:val="28"/>
          <w:szCs w:val="28"/>
        </w:rPr>
        <w:br w:type="page"/>
      </w:r>
      <w:r w:rsidR="005D4037" w:rsidRPr="00560845">
        <w:rPr>
          <w:b/>
          <w:bCs/>
          <w:color w:val="000000"/>
          <w:sz w:val="28"/>
          <w:szCs w:val="28"/>
        </w:rPr>
        <w:lastRenderedPageBreak/>
        <w:t>INFORMAZIONI IMU 2020</w:t>
      </w:r>
    </w:p>
    <w:p w14:paraId="7AB974FE" w14:textId="77777777" w:rsidR="008D5E94" w:rsidRPr="00560845" w:rsidRDefault="008D5E94" w:rsidP="00560845">
      <w:pPr>
        <w:autoSpaceDE w:val="0"/>
        <w:autoSpaceDN w:val="0"/>
        <w:adjustRightInd w:val="0"/>
        <w:spacing w:after="120" w:line="264" w:lineRule="auto"/>
        <w:jc w:val="both"/>
        <w:rPr>
          <w:b/>
          <w:bCs/>
          <w:color w:val="000000"/>
          <w:sz w:val="26"/>
          <w:szCs w:val="26"/>
          <w:u w:val="single"/>
        </w:rPr>
      </w:pPr>
      <w:r w:rsidRPr="00560845">
        <w:rPr>
          <w:b/>
          <w:bCs/>
          <w:color w:val="000000"/>
          <w:sz w:val="26"/>
          <w:szCs w:val="26"/>
          <w:u w:val="single"/>
        </w:rPr>
        <w:t>Presupposti della nuova IMU</w:t>
      </w:r>
    </w:p>
    <w:p w14:paraId="37CA3D51" w14:textId="77777777" w:rsidR="005D4037" w:rsidRPr="00560845" w:rsidRDefault="005D4037" w:rsidP="00560845">
      <w:pPr>
        <w:autoSpaceDE w:val="0"/>
        <w:autoSpaceDN w:val="0"/>
        <w:adjustRightInd w:val="0"/>
        <w:spacing w:after="120" w:line="264" w:lineRule="auto"/>
        <w:jc w:val="both"/>
        <w:rPr>
          <w:color w:val="000000"/>
          <w:sz w:val="22"/>
          <w:szCs w:val="22"/>
        </w:rPr>
      </w:pPr>
      <w:r w:rsidRPr="00560845">
        <w:rPr>
          <w:color w:val="000000"/>
          <w:sz w:val="22"/>
          <w:szCs w:val="22"/>
        </w:rPr>
        <w:t>Benché sia stata istituita la NUOVA IMU a decorrere dal 1° gennaio 2020, ad opera della Legge n. 160/2019 (Legge di bilancio 2020-2022), i</w:t>
      </w:r>
      <w:r w:rsidR="008D5E94" w:rsidRPr="00560845">
        <w:rPr>
          <w:color w:val="000000"/>
          <w:sz w:val="22"/>
          <w:szCs w:val="22"/>
        </w:rPr>
        <w:t xml:space="preserve"> presupposti </w:t>
      </w:r>
      <w:r w:rsidRPr="00560845">
        <w:rPr>
          <w:color w:val="000000"/>
          <w:sz w:val="22"/>
          <w:szCs w:val="22"/>
        </w:rPr>
        <w:t xml:space="preserve">della nuova entrata </w:t>
      </w:r>
      <w:r w:rsidR="008D5E94" w:rsidRPr="00560845">
        <w:rPr>
          <w:color w:val="000000"/>
          <w:sz w:val="22"/>
          <w:szCs w:val="22"/>
        </w:rPr>
        <w:t xml:space="preserve">sono analoghi </w:t>
      </w:r>
      <w:r w:rsidRPr="00560845">
        <w:rPr>
          <w:color w:val="000000"/>
          <w:sz w:val="22"/>
          <w:szCs w:val="22"/>
        </w:rPr>
        <w:t>a quelli della</w:t>
      </w:r>
      <w:r w:rsidR="008D5E94" w:rsidRPr="00560845">
        <w:rPr>
          <w:color w:val="000000"/>
          <w:sz w:val="22"/>
          <w:szCs w:val="22"/>
        </w:rPr>
        <w:t xml:space="preserve"> previgente</w:t>
      </w:r>
      <w:r w:rsidRPr="00560845">
        <w:rPr>
          <w:color w:val="000000"/>
          <w:sz w:val="22"/>
          <w:szCs w:val="22"/>
        </w:rPr>
        <w:t xml:space="preserve"> imposta, pur con qualche differenza.</w:t>
      </w:r>
    </w:p>
    <w:p w14:paraId="649F2ECE" w14:textId="77777777" w:rsidR="00315D6E" w:rsidRPr="00560845" w:rsidRDefault="001A4527" w:rsidP="00560845">
      <w:pPr>
        <w:pStyle w:val="PreformattatoHTML"/>
        <w:shd w:val="clear" w:color="auto" w:fill="FFFFFF"/>
        <w:spacing w:after="120" w:line="264" w:lineRule="auto"/>
        <w:jc w:val="both"/>
        <w:rPr>
          <w:rFonts w:ascii="Times New Roman" w:hAnsi="Times New Roman" w:cs="Times New Roman"/>
          <w:sz w:val="22"/>
          <w:szCs w:val="22"/>
        </w:rPr>
      </w:pPr>
      <w:r w:rsidRPr="00560845">
        <w:rPr>
          <w:rFonts w:ascii="Times New Roman" w:hAnsi="Times New Roman" w:cs="Times New Roman"/>
          <w:sz w:val="22"/>
          <w:szCs w:val="22"/>
        </w:rPr>
        <w:t>I</w:t>
      </w:r>
      <w:r w:rsidR="008D5E94" w:rsidRPr="00560845">
        <w:rPr>
          <w:rFonts w:ascii="Times New Roman" w:hAnsi="Times New Roman" w:cs="Times New Roman"/>
          <w:sz w:val="22"/>
          <w:szCs w:val="22"/>
        </w:rPr>
        <w:t xml:space="preserve">l </w:t>
      </w:r>
      <w:r w:rsidR="008D5E94" w:rsidRPr="00560845">
        <w:rPr>
          <w:rFonts w:ascii="Times New Roman" w:hAnsi="Times New Roman" w:cs="Times New Roman"/>
          <w:b/>
          <w:sz w:val="22"/>
          <w:szCs w:val="22"/>
          <w:u w:val="single"/>
        </w:rPr>
        <w:t>presupposto</w:t>
      </w:r>
      <w:r w:rsidR="005D4037" w:rsidRPr="00560845">
        <w:rPr>
          <w:rFonts w:ascii="Times New Roman" w:hAnsi="Times New Roman" w:cs="Times New Roman"/>
          <w:b/>
          <w:sz w:val="22"/>
          <w:szCs w:val="22"/>
          <w:u w:val="single"/>
        </w:rPr>
        <w:t xml:space="preserve"> </w:t>
      </w:r>
      <w:r w:rsidR="008D5E94" w:rsidRPr="00560845">
        <w:rPr>
          <w:rFonts w:ascii="Times New Roman" w:hAnsi="Times New Roman" w:cs="Times New Roman"/>
          <w:b/>
          <w:sz w:val="22"/>
          <w:szCs w:val="22"/>
          <w:u w:val="single"/>
        </w:rPr>
        <w:t>oggettivo</w:t>
      </w:r>
      <w:r w:rsidR="005D4037" w:rsidRPr="00560845">
        <w:rPr>
          <w:rFonts w:ascii="Times New Roman" w:hAnsi="Times New Roman" w:cs="Times New Roman"/>
          <w:sz w:val="22"/>
          <w:szCs w:val="22"/>
          <w:u w:val="single"/>
        </w:rPr>
        <w:t xml:space="preserve"> </w:t>
      </w:r>
      <w:r w:rsidR="005D4037" w:rsidRPr="00560845">
        <w:rPr>
          <w:rFonts w:ascii="Times New Roman" w:hAnsi="Times New Roman" w:cs="Times New Roman"/>
          <w:sz w:val="22"/>
          <w:szCs w:val="22"/>
        </w:rPr>
        <w:t>è i</w:t>
      </w:r>
      <w:r w:rsidR="008D5E94" w:rsidRPr="00560845">
        <w:rPr>
          <w:rFonts w:ascii="Times New Roman" w:hAnsi="Times New Roman" w:cs="Times New Roman"/>
          <w:sz w:val="22"/>
          <w:szCs w:val="22"/>
        </w:rPr>
        <w:t xml:space="preserve">l possesso di immobili, </w:t>
      </w:r>
      <w:r w:rsidRPr="00560845">
        <w:rPr>
          <w:rFonts w:ascii="Times New Roman" w:hAnsi="Times New Roman" w:cs="Times New Roman"/>
          <w:sz w:val="22"/>
          <w:szCs w:val="22"/>
        </w:rPr>
        <w:t>sempre con</w:t>
      </w:r>
      <w:r w:rsidR="008D5E94" w:rsidRPr="00560845">
        <w:rPr>
          <w:rFonts w:ascii="Times New Roman" w:hAnsi="Times New Roman" w:cs="Times New Roman"/>
          <w:sz w:val="22"/>
          <w:szCs w:val="22"/>
        </w:rPr>
        <w:t xml:space="preserve"> l’esclusione delle “abitazioni principali”,</w:t>
      </w:r>
      <w:r w:rsidR="005D4037" w:rsidRPr="00560845">
        <w:rPr>
          <w:rFonts w:ascii="Times New Roman" w:hAnsi="Times New Roman" w:cs="Times New Roman"/>
          <w:sz w:val="22"/>
          <w:szCs w:val="22"/>
        </w:rPr>
        <w:t xml:space="preserve"> </w:t>
      </w:r>
      <w:r w:rsidR="008D5E94" w:rsidRPr="00560845">
        <w:rPr>
          <w:rFonts w:ascii="Times New Roman" w:hAnsi="Times New Roman" w:cs="Times New Roman"/>
          <w:sz w:val="22"/>
          <w:szCs w:val="22"/>
        </w:rPr>
        <w:t xml:space="preserve">non di lusso (ossia incluse in categoria catastale A/1, A/8 e A/9). </w:t>
      </w:r>
      <w:r w:rsidR="005D4037" w:rsidRPr="00560845">
        <w:rPr>
          <w:rFonts w:ascii="Times New Roman" w:hAnsi="Times New Roman" w:cs="Times New Roman"/>
          <w:sz w:val="22"/>
          <w:szCs w:val="22"/>
        </w:rPr>
        <w:t xml:space="preserve">Si rammenta che per possesso si intende il </w:t>
      </w:r>
      <w:r w:rsidR="008D5E94" w:rsidRPr="00560845">
        <w:rPr>
          <w:rFonts w:ascii="Times New Roman" w:hAnsi="Times New Roman" w:cs="Times New Roman"/>
          <w:sz w:val="22"/>
          <w:szCs w:val="22"/>
        </w:rPr>
        <w:t>“</w:t>
      </w:r>
      <w:r w:rsidR="008D5E94" w:rsidRPr="00560845">
        <w:rPr>
          <w:rFonts w:ascii="Times New Roman" w:hAnsi="Times New Roman" w:cs="Times New Roman"/>
          <w:b/>
          <w:i/>
          <w:sz w:val="22"/>
          <w:szCs w:val="22"/>
        </w:rPr>
        <w:t>possesso qualificato</w:t>
      </w:r>
      <w:r w:rsidRPr="00560845">
        <w:rPr>
          <w:rFonts w:ascii="Times New Roman" w:hAnsi="Times New Roman" w:cs="Times New Roman"/>
          <w:sz w:val="22"/>
          <w:szCs w:val="22"/>
        </w:rPr>
        <w:t>”</w:t>
      </w:r>
      <w:r w:rsidR="008D5E94" w:rsidRPr="00560845">
        <w:rPr>
          <w:rFonts w:ascii="Times New Roman" w:hAnsi="Times New Roman" w:cs="Times New Roman"/>
          <w:sz w:val="22"/>
          <w:szCs w:val="22"/>
        </w:rPr>
        <w:t>, come puntualizzato dalla Cassazione che lo ha identificato come</w:t>
      </w:r>
      <w:r w:rsidR="005D4037" w:rsidRPr="00560845">
        <w:rPr>
          <w:rFonts w:ascii="Times New Roman" w:hAnsi="Times New Roman" w:cs="Times New Roman"/>
          <w:sz w:val="22"/>
          <w:szCs w:val="22"/>
        </w:rPr>
        <w:t xml:space="preserve"> </w:t>
      </w:r>
      <w:r w:rsidR="008D5E94" w:rsidRPr="00560845">
        <w:rPr>
          <w:rFonts w:ascii="Times New Roman" w:hAnsi="Times New Roman" w:cs="Times New Roman"/>
          <w:sz w:val="22"/>
          <w:szCs w:val="22"/>
        </w:rPr>
        <w:t>“</w:t>
      </w:r>
      <w:r w:rsidR="008D5E94" w:rsidRPr="00560845">
        <w:rPr>
          <w:rFonts w:ascii="Times New Roman" w:hAnsi="Times New Roman" w:cs="Times New Roman"/>
          <w:i/>
          <w:sz w:val="22"/>
          <w:szCs w:val="22"/>
        </w:rPr>
        <w:t>il potere sulla cosa che si manifesta in un’attività corrispondente all’esercizio della</w:t>
      </w:r>
      <w:r w:rsidR="005D4037" w:rsidRPr="00560845">
        <w:rPr>
          <w:rFonts w:ascii="Times New Roman" w:hAnsi="Times New Roman" w:cs="Times New Roman"/>
          <w:i/>
          <w:sz w:val="22"/>
          <w:szCs w:val="22"/>
        </w:rPr>
        <w:t xml:space="preserve"> </w:t>
      </w:r>
      <w:r w:rsidR="008D5E94" w:rsidRPr="00560845">
        <w:rPr>
          <w:rFonts w:ascii="Times New Roman" w:hAnsi="Times New Roman" w:cs="Times New Roman"/>
          <w:i/>
          <w:sz w:val="22"/>
          <w:szCs w:val="22"/>
        </w:rPr>
        <w:t>proprietà o di altro diritto reale</w:t>
      </w:r>
      <w:r w:rsidR="008D5E94" w:rsidRPr="00560845">
        <w:rPr>
          <w:rFonts w:ascii="Times New Roman" w:hAnsi="Times New Roman" w:cs="Times New Roman"/>
          <w:sz w:val="22"/>
          <w:szCs w:val="22"/>
        </w:rPr>
        <w:t xml:space="preserve">” (sentenza n. 25376/2008). </w:t>
      </w:r>
      <w:r w:rsidR="005D4037" w:rsidRPr="00560845">
        <w:rPr>
          <w:rFonts w:ascii="Times New Roman" w:hAnsi="Times New Roman" w:cs="Times New Roman"/>
          <w:sz w:val="22"/>
          <w:szCs w:val="22"/>
        </w:rPr>
        <w:t>I</w:t>
      </w:r>
      <w:r w:rsidR="008D5E94" w:rsidRPr="00560845">
        <w:rPr>
          <w:rFonts w:ascii="Times New Roman" w:hAnsi="Times New Roman" w:cs="Times New Roman"/>
          <w:sz w:val="22"/>
          <w:szCs w:val="22"/>
        </w:rPr>
        <w:t xml:space="preserve"> diritti reali di</w:t>
      </w:r>
      <w:r w:rsidR="005D4037" w:rsidRPr="00560845">
        <w:rPr>
          <w:rFonts w:ascii="Times New Roman" w:hAnsi="Times New Roman" w:cs="Times New Roman"/>
          <w:sz w:val="22"/>
          <w:szCs w:val="22"/>
        </w:rPr>
        <w:t xml:space="preserve"> </w:t>
      </w:r>
      <w:r w:rsidR="008D5E94" w:rsidRPr="00560845">
        <w:rPr>
          <w:rFonts w:ascii="Times New Roman" w:hAnsi="Times New Roman" w:cs="Times New Roman"/>
          <w:sz w:val="22"/>
          <w:szCs w:val="22"/>
        </w:rPr>
        <w:t xml:space="preserve">godimento </w:t>
      </w:r>
      <w:r w:rsidRPr="00560845">
        <w:rPr>
          <w:rFonts w:ascii="Times New Roman" w:hAnsi="Times New Roman" w:cs="Times New Roman"/>
          <w:sz w:val="22"/>
          <w:szCs w:val="22"/>
        </w:rPr>
        <w:t xml:space="preserve">sono la proprietà degli immobili, il diritto reale di usufrutto, </w:t>
      </w:r>
      <w:r w:rsidR="005D4037" w:rsidRPr="00560845">
        <w:rPr>
          <w:rFonts w:ascii="Times New Roman" w:hAnsi="Times New Roman" w:cs="Times New Roman"/>
          <w:sz w:val="22"/>
          <w:szCs w:val="22"/>
        </w:rPr>
        <w:t>uso, abitazione, enfiteus</w:t>
      </w:r>
      <w:r w:rsidR="00315D6E" w:rsidRPr="00560845">
        <w:rPr>
          <w:rFonts w:ascii="Times New Roman" w:hAnsi="Times New Roman" w:cs="Times New Roman"/>
          <w:sz w:val="22"/>
          <w:szCs w:val="22"/>
        </w:rPr>
        <w:t>i, superficie sugli stessi.</w:t>
      </w:r>
    </w:p>
    <w:p w14:paraId="49D381A2" w14:textId="77777777" w:rsidR="00315D6E" w:rsidRPr="00560845" w:rsidRDefault="00315D6E" w:rsidP="00560845">
      <w:pPr>
        <w:pStyle w:val="PreformattatoHTML"/>
        <w:shd w:val="clear" w:color="auto" w:fill="FFFFFF"/>
        <w:spacing w:after="120" w:line="264" w:lineRule="auto"/>
        <w:jc w:val="both"/>
        <w:rPr>
          <w:rFonts w:ascii="Times New Roman" w:hAnsi="Times New Roman" w:cs="Times New Roman"/>
          <w:color w:val="000000"/>
          <w:sz w:val="22"/>
          <w:szCs w:val="22"/>
        </w:rPr>
      </w:pPr>
      <w:r w:rsidRPr="00560845">
        <w:rPr>
          <w:rFonts w:ascii="Times New Roman" w:hAnsi="Times New Roman" w:cs="Times New Roman"/>
          <w:sz w:val="22"/>
          <w:szCs w:val="22"/>
        </w:rPr>
        <w:t xml:space="preserve">Nel caso di </w:t>
      </w:r>
      <w:r w:rsidRPr="00560845">
        <w:rPr>
          <w:rFonts w:ascii="Times New Roman" w:hAnsi="Times New Roman" w:cs="Times New Roman"/>
          <w:b/>
          <w:sz w:val="22"/>
          <w:szCs w:val="22"/>
          <w:u w:val="single"/>
        </w:rPr>
        <w:t>comproprietà</w:t>
      </w:r>
      <w:r w:rsidRPr="00560845">
        <w:rPr>
          <w:rFonts w:ascii="Times New Roman" w:hAnsi="Times New Roman" w:cs="Times New Roman"/>
          <w:color w:val="000000"/>
          <w:sz w:val="22"/>
          <w:szCs w:val="22"/>
        </w:rPr>
        <w:t>, ogni soggetto</w:t>
      </w:r>
      <w:r w:rsidR="000452FB" w:rsidRPr="00560845">
        <w:rPr>
          <w:rFonts w:ascii="Times New Roman" w:hAnsi="Times New Roman" w:cs="Times New Roman"/>
          <w:color w:val="000000"/>
          <w:sz w:val="22"/>
          <w:szCs w:val="22"/>
        </w:rPr>
        <w:t xml:space="preserve"> è</w:t>
      </w:r>
      <w:r w:rsidRPr="00560845">
        <w:rPr>
          <w:rFonts w:ascii="Times New Roman" w:hAnsi="Times New Roman" w:cs="Times New Roman"/>
          <w:color w:val="000000"/>
          <w:sz w:val="22"/>
          <w:szCs w:val="22"/>
        </w:rPr>
        <w:t xml:space="preserve"> titolare di un’autonoma obbligazione tributaria </w:t>
      </w:r>
      <w:r w:rsidR="000452FB" w:rsidRPr="00560845">
        <w:rPr>
          <w:rFonts w:ascii="Times New Roman" w:hAnsi="Times New Roman" w:cs="Times New Roman"/>
          <w:color w:val="000000"/>
          <w:sz w:val="22"/>
          <w:szCs w:val="22"/>
        </w:rPr>
        <w:t xml:space="preserve">e </w:t>
      </w:r>
      <w:r w:rsidRPr="00560845">
        <w:rPr>
          <w:rFonts w:ascii="Times New Roman" w:hAnsi="Times New Roman" w:cs="Times New Roman"/>
          <w:color w:val="000000"/>
          <w:sz w:val="22"/>
          <w:szCs w:val="22"/>
        </w:rPr>
        <w:t>verserà l’imposta</w:t>
      </w:r>
      <w:r w:rsidR="000452FB" w:rsidRPr="00560845">
        <w:rPr>
          <w:rFonts w:ascii="Times New Roman" w:hAnsi="Times New Roman" w:cs="Times New Roman"/>
          <w:color w:val="000000"/>
          <w:sz w:val="22"/>
          <w:szCs w:val="22"/>
        </w:rPr>
        <w:t xml:space="preserve"> </w:t>
      </w:r>
      <w:r w:rsidRPr="00560845">
        <w:rPr>
          <w:rFonts w:ascii="Times New Roman" w:hAnsi="Times New Roman" w:cs="Times New Roman"/>
          <w:color w:val="000000"/>
          <w:sz w:val="22"/>
          <w:szCs w:val="22"/>
        </w:rPr>
        <w:t>considerando sia i presupposti soggettivi</w:t>
      </w:r>
      <w:r w:rsidR="000452FB" w:rsidRPr="00560845">
        <w:rPr>
          <w:rFonts w:ascii="Times New Roman" w:hAnsi="Times New Roman" w:cs="Times New Roman"/>
          <w:color w:val="000000"/>
          <w:sz w:val="22"/>
          <w:szCs w:val="22"/>
        </w:rPr>
        <w:t>,</w:t>
      </w:r>
      <w:r w:rsidRPr="00560845">
        <w:rPr>
          <w:rFonts w:ascii="Times New Roman" w:hAnsi="Times New Roman" w:cs="Times New Roman"/>
          <w:color w:val="000000"/>
          <w:sz w:val="22"/>
          <w:szCs w:val="22"/>
        </w:rPr>
        <w:t xml:space="preserve"> quanto quelli oggettivi</w:t>
      </w:r>
      <w:r w:rsidR="000452FB" w:rsidRPr="00560845">
        <w:rPr>
          <w:rFonts w:ascii="Times New Roman" w:hAnsi="Times New Roman" w:cs="Times New Roman"/>
          <w:color w:val="000000"/>
          <w:sz w:val="22"/>
          <w:szCs w:val="22"/>
        </w:rPr>
        <w:t>.</w:t>
      </w:r>
    </w:p>
    <w:p w14:paraId="5220F3CD" w14:textId="77777777" w:rsidR="00315D6E" w:rsidRPr="00560845" w:rsidRDefault="00FE3A61" w:rsidP="00560845">
      <w:pPr>
        <w:pStyle w:val="PreformattatoHTML"/>
        <w:shd w:val="clear" w:color="auto" w:fill="FFFFFF"/>
        <w:spacing w:line="264" w:lineRule="auto"/>
        <w:jc w:val="both"/>
        <w:rPr>
          <w:rFonts w:ascii="Times New Roman" w:hAnsi="Times New Roman" w:cs="Times New Roman"/>
          <w:color w:val="000000"/>
          <w:sz w:val="22"/>
          <w:szCs w:val="22"/>
        </w:rPr>
      </w:pPr>
      <w:r w:rsidRPr="00560845">
        <w:rPr>
          <w:rFonts w:ascii="Times New Roman" w:hAnsi="Times New Roman" w:cs="Times New Roman"/>
          <w:color w:val="000000"/>
          <w:sz w:val="22"/>
          <w:szCs w:val="22"/>
        </w:rPr>
        <w:t xml:space="preserve">In particolare sono </w:t>
      </w:r>
      <w:r w:rsidRPr="00560845">
        <w:rPr>
          <w:rFonts w:ascii="Times New Roman" w:hAnsi="Times New Roman" w:cs="Times New Roman"/>
          <w:b/>
          <w:color w:val="000000"/>
          <w:sz w:val="22"/>
          <w:szCs w:val="22"/>
          <w:u w:val="single"/>
        </w:rPr>
        <w:t>oggetti d’imposta</w:t>
      </w:r>
      <w:r w:rsidRPr="00560845">
        <w:rPr>
          <w:rFonts w:ascii="Times New Roman" w:hAnsi="Times New Roman" w:cs="Times New Roman"/>
          <w:b/>
          <w:color w:val="000000"/>
          <w:sz w:val="22"/>
          <w:szCs w:val="22"/>
        </w:rPr>
        <w:t xml:space="preserve"> </w:t>
      </w:r>
      <w:r w:rsidRPr="00560845">
        <w:rPr>
          <w:rFonts w:ascii="Times New Roman" w:hAnsi="Times New Roman" w:cs="Times New Roman"/>
          <w:color w:val="000000"/>
          <w:sz w:val="22"/>
          <w:szCs w:val="22"/>
        </w:rPr>
        <w:t>gli immobili, ossia</w:t>
      </w:r>
      <w:r w:rsidR="00E3438B" w:rsidRPr="00560845">
        <w:rPr>
          <w:rFonts w:ascii="Times New Roman" w:hAnsi="Times New Roman" w:cs="Times New Roman"/>
          <w:color w:val="000000"/>
          <w:sz w:val="22"/>
          <w:szCs w:val="22"/>
        </w:rPr>
        <w:t>:</w:t>
      </w:r>
    </w:p>
    <w:p w14:paraId="5535D20B" w14:textId="77777777" w:rsidR="00315D6E" w:rsidRPr="00560845" w:rsidRDefault="00315D6E" w:rsidP="00560845">
      <w:pPr>
        <w:pStyle w:val="PreformattatoHTML"/>
        <w:numPr>
          <w:ilvl w:val="0"/>
          <w:numId w:val="2"/>
        </w:numPr>
        <w:shd w:val="clear" w:color="auto" w:fill="FFFFFF"/>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4" w:lineRule="auto"/>
        <w:ind w:left="284" w:hanging="284"/>
        <w:jc w:val="both"/>
        <w:rPr>
          <w:rFonts w:ascii="Times New Roman" w:hAnsi="Times New Roman" w:cs="Times New Roman"/>
          <w:color w:val="000000"/>
          <w:sz w:val="22"/>
          <w:szCs w:val="22"/>
        </w:rPr>
      </w:pPr>
      <w:r w:rsidRPr="00560845">
        <w:rPr>
          <w:rFonts w:ascii="Times New Roman" w:hAnsi="Times New Roman" w:cs="Times New Roman"/>
          <w:color w:val="000000"/>
          <w:sz w:val="22"/>
          <w:szCs w:val="22"/>
        </w:rPr>
        <w:t>i</w:t>
      </w:r>
      <w:r w:rsidR="00FE3A61" w:rsidRPr="00560845">
        <w:rPr>
          <w:rFonts w:ascii="Times New Roman" w:hAnsi="Times New Roman" w:cs="Times New Roman"/>
          <w:color w:val="000000"/>
          <w:sz w:val="22"/>
          <w:szCs w:val="22"/>
        </w:rPr>
        <w:t xml:space="preserve"> </w:t>
      </w:r>
      <w:r w:rsidR="00FE3A61" w:rsidRPr="00560845">
        <w:rPr>
          <w:rFonts w:ascii="Times New Roman" w:hAnsi="Times New Roman" w:cs="Times New Roman"/>
          <w:b/>
          <w:color w:val="000000"/>
          <w:sz w:val="22"/>
          <w:szCs w:val="22"/>
        </w:rPr>
        <w:t>fabbricati</w:t>
      </w:r>
      <w:r w:rsidR="00FE3A61" w:rsidRPr="00560845">
        <w:rPr>
          <w:rFonts w:ascii="Times New Roman" w:hAnsi="Times New Roman" w:cs="Times New Roman"/>
          <w:color w:val="000000"/>
          <w:sz w:val="22"/>
          <w:szCs w:val="22"/>
        </w:rPr>
        <w:t>, purché dotati di rendita</w:t>
      </w:r>
      <w:r w:rsidRPr="00560845">
        <w:rPr>
          <w:rFonts w:ascii="Times New Roman" w:hAnsi="Times New Roman" w:cs="Times New Roman"/>
          <w:color w:val="000000"/>
          <w:sz w:val="22"/>
          <w:szCs w:val="22"/>
        </w:rPr>
        <w:t xml:space="preserve">, </w:t>
      </w:r>
    </w:p>
    <w:p w14:paraId="0CC7D048" w14:textId="77777777" w:rsidR="00315D6E" w:rsidRPr="00560845" w:rsidRDefault="00FE3A61" w:rsidP="00560845">
      <w:pPr>
        <w:pStyle w:val="PreformattatoHTML"/>
        <w:numPr>
          <w:ilvl w:val="0"/>
          <w:numId w:val="2"/>
        </w:numPr>
        <w:shd w:val="clear" w:color="auto" w:fill="FFFFFF"/>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4" w:lineRule="auto"/>
        <w:ind w:left="284" w:hanging="284"/>
        <w:jc w:val="both"/>
        <w:rPr>
          <w:rFonts w:ascii="Times New Roman" w:hAnsi="Times New Roman" w:cs="Times New Roman"/>
          <w:sz w:val="22"/>
          <w:szCs w:val="22"/>
        </w:rPr>
      </w:pPr>
      <w:r w:rsidRPr="00560845">
        <w:rPr>
          <w:rFonts w:ascii="Times New Roman" w:hAnsi="Times New Roman" w:cs="Times New Roman"/>
          <w:color w:val="000000"/>
          <w:sz w:val="22"/>
          <w:szCs w:val="22"/>
        </w:rPr>
        <w:t xml:space="preserve">le </w:t>
      </w:r>
      <w:r w:rsidRPr="00560845">
        <w:rPr>
          <w:rFonts w:ascii="Times New Roman" w:hAnsi="Times New Roman" w:cs="Times New Roman"/>
          <w:b/>
          <w:color w:val="000000"/>
          <w:sz w:val="22"/>
          <w:szCs w:val="22"/>
        </w:rPr>
        <w:t>aree edificabili</w:t>
      </w:r>
      <w:r w:rsidRPr="00560845">
        <w:rPr>
          <w:rFonts w:ascii="Times New Roman" w:hAnsi="Times New Roman" w:cs="Times New Roman"/>
          <w:color w:val="000000"/>
          <w:sz w:val="22"/>
          <w:szCs w:val="22"/>
        </w:rPr>
        <w:t>, come individuati dagli strumenti urbanistici vigenti,</w:t>
      </w:r>
      <w:r w:rsidR="00315D6E" w:rsidRPr="00560845">
        <w:rPr>
          <w:rFonts w:ascii="Times New Roman" w:hAnsi="Times New Roman" w:cs="Times New Roman"/>
          <w:color w:val="000000"/>
          <w:sz w:val="22"/>
          <w:szCs w:val="22"/>
        </w:rPr>
        <w:t xml:space="preserve"> tuttavia, nel caso di conduzione diretta da parte di un coltivatore</w:t>
      </w:r>
      <w:r w:rsidR="00315D6E" w:rsidRPr="00560845">
        <w:rPr>
          <w:rFonts w:ascii="Times New Roman" w:hAnsi="Times New Roman" w:cs="Times New Roman"/>
          <w:sz w:val="22"/>
          <w:szCs w:val="22"/>
        </w:rPr>
        <w:t xml:space="preserve"> diretto (CD) o di imprenditore Agricolo a titolo Principale, di cui al D.Lgs.n. 99/2004, o di società agricola, è applicata la </w:t>
      </w:r>
      <w:r w:rsidR="00315D6E" w:rsidRPr="00560845">
        <w:rPr>
          <w:rFonts w:ascii="Times New Roman" w:hAnsi="Times New Roman" w:cs="Times New Roman"/>
          <w:i/>
          <w:sz w:val="22"/>
          <w:szCs w:val="22"/>
        </w:rPr>
        <w:t>fictio juris</w:t>
      </w:r>
      <w:r w:rsidR="00315D6E" w:rsidRPr="00560845">
        <w:rPr>
          <w:rFonts w:ascii="Times New Roman" w:hAnsi="Times New Roman" w:cs="Times New Roman"/>
          <w:sz w:val="22"/>
          <w:szCs w:val="22"/>
        </w:rPr>
        <w:t xml:space="preserve"> per cui l’area edificabile è equiparata al terreno agricolo,</w:t>
      </w:r>
    </w:p>
    <w:p w14:paraId="688E1D4A" w14:textId="77777777" w:rsidR="00315D6E" w:rsidRPr="00560845" w:rsidRDefault="00FE3A61" w:rsidP="00560845">
      <w:pPr>
        <w:pStyle w:val="PreformattatoHTML"/>
        <w:numPr>
          <w:ilvl w:val="0"/>
          <w:numId w:val="2"/>
        </w:numPr>
        <w:shd w:val="clear" w:color="auto" w:fill="FFFFFF"/>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264" w:lineRule="auto"/>
        <w:ind w:left="284" w:hanging="284"/>
        <w:jc w:val="both"/>
        <w:rPr>
          <w:rFonts w:ascii="Times New Roman" w:hAnsi="Times New Roman" w:cs="Times New Roman"/>
          <w:sz w:val="22"/>
          <w:szCs w:val="22"/>
        </w:rPr>
      </w:pPr>
      <w:r w:rsidRPr="00560845">
        <w:rPr>
          <w:rFonts w:ascii="Times New Roman" w:hAnsi="Times New Roman" w:cs="Times New Roman"/>
          <w:sz w:val="22"/>
          <w:szCs w:val="22"/>
        </w:rPr>
        <w:t xml:space="preserve">i </w:t>
      </w:r>
      <w:r w:rsidRPr="00560845">
        <w:rPr>
          <w:rFonts w:ascii="Times New Roman" w:hAnsi="Times New Roman" w:cs="Times New Roman"/>
          <w:b/>
          <w:sz w:val="22"/>
          <w:szCs w:val="22"/>
        </w:rPr>
        <w:t>terreni agricoli</w:t>
      </w:r>
      <w:r w:rsidRPr="00560845">
        <w:rPr>
          <w:rFonts w:ascii="Times New Roman" w:hAnsi="Times New Roman" w:cs="Times New Roman"/>
          <w:sz w:val="22"/>
          <w:szCs w:val="22"/>
        </w:rPr>
        <w:t xml:space="preserve">. </w:t>
      </w:r>
    </w:p>
    <w:p w14:paraId="2F06967F" w14:textId="77777777" w:rsidR="00FE3A61" w:rsidRPr="00560845" w:rsidRDefault="00FE3A61" w:rsidP="00560845">
      <w:pPr>
        <w:pStyle w:val="PreformattatoHTML"/>
        <w:shd w:val="clear" w:color="auto" w:fill="FFFFFF"/>
        <w:spacing w:after="120" w:line="264" w:lineRule="auto"/>
        <w:jc w:val="both"/>
        <w:rPr>
          <w:rFonts w:ascii="Times New Roman" w:hAnsi="Times New Roman" w:cs="Times New Roman"/>
          <w:sz w:val="22"/>
          <w:szCs w:val="22"/>
        </w:rPr>
      </w:pPr>
      <w:r w:rsidRPr="00560845">
        <w:rPr>
          <w:rFonts w:ascii="Times New Roman" w:hAnsi="Times New Roman" w:cs="Times New Roman"/>
          <w:sz w:val="22"/>
          <w:szCs w:val="22"/>
        </w:rPr>
        <w:t xml:space="preserve">Si evidenzia che l’area occupata dal fabbricato e quella che ne costituisce pertinenza, intesa esclusivamente ai fini urbanistici, sono parte integrante del fabbricato, purché accatastate unitariamente. </w:t>
      </w:r>
      <w:r w:rsidR="00315D6E" w:rsidRPr="00560845">
        <w:rPr>
          <w:rFonts w:ascii="Times New Roman" w:hAnsi="Times New Roman" w:cs="Times New Roman"/>
          <w:sz w:val="22"/>
          <w:szCs w:val="22"/>
        </w:rPr>
        <w:t>I</w:t>
      </w:r>
      <w:r w:rsidRPr="00560845">
        <w:rPr>
          <w:rFonts w:ascii="Times New Roman" w:hAnsi="Times New Roman" w:cs="Times New Roman"/>
          <w:sz w:val="22"/>
          <w:szCs w:val="22"/>
        </w:rPr>
        <w:t>l fabbricato di nuova costruzione è soggetto all'imposta a partire dalla data di ultimazione dei lavori di costruzione ovvero, se antecedente, dalla data in cui è comunque utilizzato.</w:t>
      </w:r>
    </w:p>
    <w:p w14:paraId="2AC84E38" w14:textId="77777777" w:rsidR="000452FB" w:rsidRPr="00560845" w:rsidRDefault="000452FB" w:rsidP="00560845">
      <w:pPr>
        <w:pStyle w:val="PreformattatoHTML"/>
        <w:shd w:val="clear" w:color="auto" w:fill="FFFFFF"/>
        <w:spacing w:after="120" w:line="264" w:lineRule="auto"/>
        <w:jc w:val="both"/>
        <w:rPr>
          <w:rFonts w:ascii="Times New Roman" w:hAnsi="Times New Roman" w:cs="Times New Roman"/>
          <w:sz w:val="22"/>
          <w:szCs w:val="22"/>
        </w:rPr>
      </w:pPr>
      <w:r w:rsidRPr="00560845">
        <w:rPr>
          <w:rFonts w:ascii="Times New Roman" w:hAnsi="Times New Roman" w:cs="Times New Roman"/>
          <w:sz w:val="22"/>
          <w:szCs w:val="22"/>
        </w:rPr>
        <w:t xml:space="preserve">Per i </w:t>
      </w:r>
      <w:r w:rsidRPr="00560845">
        <w:rPr>
          <w:rFonts w:ascii="Times New Roman" w:hAnsi="Times New Roman" w:cs="Times New Roman"/>
          <w:b/>
          <w:sz w:val="22"/>
          <w:szCs w:val="22"/>
        </w:rPr>
        <w:t>fabbricati accatastati nel gruppo “D”</w:t>
      </w:r>
      <w:r w:rsidRPr="00560845">
        <w:rPr>
          <w:rFonts w:ascii="Times New Roman" w:hAnsi="Times New Roman" w:cs="Times New Roman"/>
          <w:sz w:val="22"/>
          <w:szCs w:val="22"/>
        </w:rPr>
        <w:t xml:space="preserve">, resta confermata la quota d’imposta riservata allo Stato, pari all’imposta risultante applicando l’aliquota nella misura del </w:t>
      </w:r>
      <w:r w:rsidR="000C3F14" w:rsidRPr="00560845">
        <w:rPr>
          <w:rFonts w:ascii="Times New Roman" w:hAnsi="Times New Roman" w:cs="Times New Roman"/>
          <w:sz w:val="22"/>
          <w:szCs w:val="22"/>
        </w:rPr>
        <w:t>0,</w:t>
      </w:r>
      <w:r w:rsidRPr="00560845">
        <w:rPr>
          <w:rFonts w:ascii="Times New Roman" w:hAnsi="Times New Roman" w:cs="Times New Roman"/>
          <w:sz w:val="22"/>
          <w:szCs w:val="22"/>
        </w:rPr>
        <w:t>76 per</w:t>
      </w:r>
      <w:r w:rsidR="000C3F14" w:rsidRPr="00560845">
        <w:rPr>
          <w:rFonts w:ascii="Times New Roman" w:hAnsi="Times New Roman" w:cs="Times New Roman"/>
          <w:sz w:val="22"/>
          <w:szCs w:val="22"/>
        </w:rPr>
        <w:t xml:space="preserve"> cento</w:t>
      </w:r>
      <w:r w:rsidRPr="00560845">
        <w:rPr>
          <w:rFonts w:ascii="Times New Roman" w:hAnsi="Times New Roman" w:cs="Times New Roman"/>
          <w:sz w:val="22"/>
          <w:szCs w:val="22"/>
        </w:rPr>
        <w:t>, ad eccezione dei fabbricati inclusi nella categoria “D/10” la cui imposta è tutta di competenza del Comune.</w:t>
      </w:r>
    </w:p>
    <w:p w14:paraId="616D8A24" w14:textId="77777777" w:rsidR="00FE3A61" w:rsidRPr="00560845" w:rsidRDefault="00FE3A61" w:rsidP="00560845">
      <w:pPr>
        <w:pStyle w:val="PreformattatoHTML"/>
        <w:shd w:val="clear" w:color="auto" w:fill="FFFFFF"/>
        <w:spacing w:after="120" w:line="264" w:lineRule="auto"/>
        <w:jc w:val="both"/>
        <w:rPr>
          <w:rFonts w:ascii="Times New Roman" w:hAnsi="Times New Roman" w:cs="Times New Roman"/>
          <w:color w:val="000000"/>
          <w:sz w:val="22"/>
          <w:szCs w:val="22"/>
        </w:rPr>
      </w:pPr>
      <w:r w:rsidRPr="00560845">
        <w:rPr>
          <w:rFonts w:ascii="Times New Roman" w:hAnsi="Times New Roman" w:cs="Times New Roman"/>
          <w:sz w:val="22"/>
          <w:szCs w:val="22"/>
        </w:rPr>
        <w:t xml:space="preserve">Per </w:t>
      </w:r>
      <w:r w:rsidRPr="00560845">
        <w:rPr>
          <w:rFonts w:ascii="Times New Roman" w:hAnsi="Times New Roman" w:cs="Times New Roman"/>
          <w:b/>
          <w:sz w:val="22"/>
          <w:szCs w:val="22"/>
          <w:u w:val="single"/>
        </w:rPr>
        <w:t>abitazione principale</w:t>
      </w:r>
      <w:r w:rsidRPr="00560845">
        <w:rPr>
          <w:rFonts w:ascii="Times New Roman" w:hAnsi="Times New Roman" w:cs="Times New Roman"/>
          <w:sz w:val="22"/>
          <w:szCs w:val="22"/>
        </w:rPr>
        <w:t xml:space="preserve"> si intende l'immobile, iscritto o iscrivibile nel catasto edilizio urbano come unica unità immobiliare, nel quale il possessore e i componenti del suo nucleo familiare dimorano abitualmente e risiedono anagraficamente. Nel caso in cui i componenti del nucleo familiare abbiano stabilito la dimora abituale e la residenza anagrafica in immobili diversi situati nel territorio comunale, le agevolazioni per l'abitazione principale e per le relative pertinenze in relazione al nucleo familiare si applicano per un solo immobile. Per </w:t>
      </w:r>
      <w:r w:rsidRPr="00560845">
        <w:rPr>
          <w:rFonts w:ascii="Times New Roman" w:hAnsi="Times New Roman" w:cs="Times New Roman"/>
          <w:b/>
          <w:sz w:val="22"/>
          <w:szCs w:val="22"/>
        </w:rPr>
        <w:t>pertinenze dell'abitazione principale</w:t>
      </w:r>
      <w:r w:rsidRPr="00560845">
        <w:rPr>
          <w:rFonts w:ascii="Times New Roman" w:hAnsi="Times New Roman" w:cs="Times New Roman"/>
          <w:sz w:val="22"/>
          <w:szCs w:val="22"/>
        </w:rPr>
        <w:t xml:space="preserve"> si intendono esclusivamente quelle classificate nelle categorie catastali C/2, C/6 e C/7, nella misura massima di un'unità pertinenziale per ciascuna delle categorie catastali </w:t>
      </w:r>
      <w:r w:rsidRPr="00560845">
        <w:rPr>
          <w:rFonts w:ascii="Times New Roman" w:hAnsi="Times New Roman" w:cs="Times New Roman"/>
          <w:color w:val="000000"/>
          <w:sz w:val="22"/>
          <w:szCs w:val="22"/>
        </w:rPr>
        <w:t>indicate, anche se iscritte in catasto unitamente all'unità ad uso abitativo.</w:t>
      </w:r>
    </w:p>
    <w:p w14:paraId="42597213" w14:textId="77777777" w:rsidR="000C3F14" w:rsidRPr="00560845" w:rsidRDefault="000C3F14" w:rsidP="00560845">
      <w:pPr>
        <w:pStyle w:val="PreformattatoHTML"/>
        <w:shd w:val="clear" w:color="auto" w:fill="FFFFFF"/>
        <w:spacing w:line="264" w:lineRule="auto"/>
        <w:jc w:val="both"/>
        <w:rPr>
          <w:rFonts w:ascii="Times New Roman" w:hAnsi="Times New Roman" w:cs="Times New Roman"/>
          <w:color w:val="000000"/>
          <w:sz w:val="22"/>
          <w:szCs w:val="22"/>
        </w:rPr>
      </w:pPr>
      <w:r w:rsidRPr="00560845">
        <w:rPr>
          <w:rFonts w:ascii="Times New Roman" w:hAnsi="Times New Roman" w:cs="Times New Roman"/>
          <w:color w:val="000000"/>
          <w:sz w:val="22"/>
          <w:szCs w:val="22"/>
        </w:rPr>
        <w:t xml:space="preserve">Sono considerate, </w:t>
      </w:r>
      <w:r w:rsidRPr="00560845">
        <w:rPr>
          <w:rFonts w:ascii="Times New Roman" w:hAnsi="Times New Roman" w:cs="Times New Roman"/>
          <w:color w:val="000000"/>
          <w:sz w:val="22"/>
          <w:szCs w:val="22"/>
          <w:u w:val="single"/>
        </w:rPr>
        <w:t xml:space="preserve">altresì, </w:t>
      </w:r>
      <w:r w:rsidRPr="00560845">
        <w:rPr>
          <w:rFonts w:ascii="Times New Roman" w:hAnsi="Times New Roman" w:cs="Times New Roman"/>
          <w:b/>
          <w:color w:val="000000"/>
          <w:sz w:val="22"/>
          <w:szCs w:val="22"/>
          <w:u w:val="single"/>
        </w:rPr>
        <w:t>abitazioni principal</w:t>
      </w:r>
      <w:r w:rsidRPr="00560845">
        <w:rPr>
          <w:rFonts w:ascii="Times New Roman" w:hAnsi="Times New Roman" w:cs="Times New Roman"/>
          <w:b/>
          <w:color w:val="000000"/>
          <w:sz w:val="22"/>
          <w:szCs w:val="22"/>
        </w:rPr>
        <w:t>i</w:t>
      </w:r>
      <w:r w:rsidRPr="00560845">
        <w:rPr>
          <w:rFonts w:ascii="Times New Roman" w:hAnsi="Times New Roman" w:cs="Times New Roman"/>
          <w:color w:val="000000"/>
          <w:sz w:val="22"/>
          <w:szCs w:val="22"/>
        </w:rPr>
        <w:t>:</w:t>
      </w:r>
    </w:p>
    <w:p w14:paraId="7C7A2B6D" w14:textId="77777777" w:rsidR="000452FB" w:rsidRPr="00560845" w:rsidRDefault="000452FB" w:rsidP="00560845">
      <w:pPr>
        <w:pStyle w:val="PreformattatoHTML"/>
        <w:shd w:val="clear" w:color="auto" w:fill="FFFFFF"/>
        <w:tabs>
          <w:tab w:val="left" w:pos="540"/>
        </w:tabs>
        <w:spacing w:line="264" w:lineRule="auto"/>
        <w:ind w:left="284" w:hanging="284"/>
        <w:jc w:val="both"/>
        <w:rPr>
          <w:rFonts w:ascii="Times New Roman" w:hAnsi="Times New Roman" w:cs="Times New Roman"/>
          <w:color w:val="000000"/>
          <w:sz w:val="22"/>
          <w:szCs w:val="22"/>
        </w:rPr>
      </w:pPr>
      <w:r w:rsidRPr="00560845">
        <w:rPr>
          <w:rFonts w:ascii="Times New Roman" w:hAnsi="Times New Roman" w:cs="Times New Roman"/>
          <w:color w:val="000000"/>
          <w:sz w:val="22"/>
          <w:szCs w:val="22"/>
        </w:rPr>
        <w:t xml:space="preserve">1) </w:t>
      </w:r>
      <w:r w:rsidR="00560845" w:rsidRPr="00560845">
        <w:rPr>
          <w:rFonts w:ascii="Times New Roman" w:hAnsi="Times New Roman" w:cs="Times New Roman"/>
          <w:color w:val="000000"/>
          <w:sz w:val="22"/>
          <w:szCs w:val="22"/>
        </w:rPr>
        <w:tab/>
      </w:r>
      <w:r w:rsidRPr="00560845">
        <w:rPr>
          <w:rFonts w:ascii="Times New Roman" w:hAnsi="Times New Roman" w:cs="Times New Roman"/>
          <w:color w:val="000000"/>
          <w:sz w:val="22"/>
          <w:szCs w:val="22"/>
        </w:rPr>
        <w:t>le unità immobiliari appartenenti alle cooperative edilizie a</w:t>
      </w:r>
      <w:r w:rsidR="000C3F14" w:rsidRPr="00560845">
        <w:rPr>
          <w:rFonts w:ascii="Times New Roman" w:hAnsi="Times New Roman" w:cs="Times New Roman"/>
          <w:color w:val="000000"/>
          <w:sz w:val="22"/>
          <w:szCs w:val="22"/>
        </w:rPr>
        <w:t xml:space="preserve"> </w:t>
      </w:r>
      <w:r w:rsidRPr="00560845">
        <w:rPr>
          <w:rFonts w:ascii="Times New Roman" w:hAnsi="Times New Roman" w:cs="Times New Roman"/>
          <w:color w:val="000000"/>
          <w:sz w:val="22"/>
          <w:szCs w:val="22"/>
        </w:rPr>
        <w:t>proprietà indivisa ad</w:t>
      </w:r>
      <w:r w:rsidR="000C3F14" w:rsidRPr="00560845">
        <w:rPr>
          <w:rFonts w:ascii="Times New Roman" w:hAnsi="Times New Roman" w:cs="Times New Roman"/>
          <w:color w:val="000000"/>
          <w:sz w:val="22"/>
          <w:szCs w:val="22"/>
        </w:rPr>
        <w:t xml:space="preserve">ibite ad abitazione principale </w:t>
      </w:r>
      <w:r w:rsidRPr="00560845">
        <w:rPr>
          <w:rFonts w:ascii="Times New Roman" w:hAnsi="Times New Roman" w:cs="Times New Roman"/>
          <w:color w:val="000000"/>
          <w:sz w:val="22"/>
          <w:szCs w:val="22"/>
        </w:rPr>
        <w:t>e relative pertinenze</w:t>
      </w:r>
      <w:r w:rsidR="000C3F14" w:rsidRPr="00560845">
        <w:rPr>
          <w:rFonts w:ascii="Times New Roman" w:hAnsi="Times New Roman" w:cs="Times New Roman"/>
          <w:color w:val="000000"/>
          <w:sz w:val="22"/>
          <w:szCs w:val="22"/>
        </w:rPr>
        <w:t xml:space="preserve"> </w:t>
      </w:r>
      <w:r w:rsidRPr="00560845">
        <w:rPr>
          <w:rFonts w:ascii="Times New Roman" w:hAnsi="Times New Roman" w:cs="Times New Roman"/>
          <w:color w:val="000000"/>
          <w:sz w:val="22"/>
          <w:szCs w:val="22"/>
        </w:rPr>
        <w:t>dei soci assegnatari;</w:t>
      </w:r>
    </w:p>
    <w:p w14:paraId="75E0DD58" w14:textId="77777777" w:rsidR="000452FB" w:rsidRPr="00560845" w:rsidRDefault="000452FB" w:rsidP="00560845">
      <w:pPr>
        <w:pStyle w:val="PreformattatoHTML"/>
        <w:shd w:val="clear" w:color="auto" w:fill="FFFFFF"/>
        <w:tabs>
          <w:tab w:val="left" w:pos="540"/>
        </w:tabs>
        <w:spacing w:line="264" w:lineRule="auto"/>
        <w:ind w:left="284" w:hanging="284"/>
        <w:jc w:val="both"/>
        <w:rPr>
          <w:rFonts w:ascii="Times New Roman" w:hAnsi="Times New Roman" w:cs="Times New Roman"/>
          <w:color w:val="000000"/>
          <w:sz w:val="22"/>
          <w:szCs w:val="22"/>
        </w:rPr>
      </w:pPr>
      <w:r w:rsidRPr="00560845">
        <w:rPr>
          <w:rFonts w:ascii="Times New Roman" w:hAnsi="Times New Roman" w:cs="Times New Roman"/>
          <w:color w:val="000000"/>
          <w:sz w:val="22"/>
          <w:szCs w:val="22"/>
        </w:rPr>
        <w:t xml:space="preserve">2) </w:t>
      </w:r>
      <w:r w:rsidR="00560845" w:rsidRPr="00560845">
        <w:rPr>
          <w:rFonts w:ascii="Times New Roman" w:hAnsi="Times New Roman" w:cs="Times New Roman"/>
          <w:color w:val="000000"/>
          <w:sz w:val="22"/>
          <w:szCs w:val="22"/>
        </w:rPr>
        <w:tab/>
      </w:r>
      <w:r w:rsidRPr="00560845">
        <w:rPr>
          <w:rFonts w:ascii="Times New Roman" w:hAnsi="Times New Roman" w:cs="Times New Roman"/>
          <w:color w:val="000000"/>
          <w:sz w:val="22"/>
          <w:szCs w:val="22"/>
        </w:rPr>
        <w:t>le unità immobiliari appartenenti alle cooperative edilizie a</w:t>
      </w:r>
      <w:r w:rsidR="000C3F14" w:rsidRPr="00560845">
        <w:rPr>
          <w:rFonts w:ascii="Times New Roman" w:hAnsi="Times New Roman" w:cs="Times New Roman"/>
          <w:color w:val="000000"/>
          <w:sz w:val="22"/>
          <w:szCs w:val="22"/>
        </w:rPr>
        <w:t xml:space="preserve"> </w:t>
      </w:r>
      <w:r w:rsidRPr="00560845">
        <w:rPr>
          <w:rFonts w:ascii="Times New Roman" w:hAnsi="Times New Roman" w:cs="Times New Roman"/>
          <w:color w:val="000000"/>
          <w:sz w:val="22"/>
          <w:szCs w:val="22"/>
        </w:rPr>
        <w:t>proprietà</w:t>
      </w:r>
      <w:r w:rsidR="000C3F14" w:rsidRPr="00560845">
        <w:rPr>
          <w:rFonts w:ascii="Times New Roman" w:hAnsi="Times New Roman" w:cs="Times New Roman"/>
          <w:color w:val="000000"/>
          <w:sz w:val="22"/>
          <w:szCs w:val="22"/>
        </w:rPr>
        <w:t xml:space="preserve"> </w:t>
      </w:r>
      <w:r w:rsidRPr="00560845">
        <w:rPr>
          <w:rFonts w:ascii="Times New Roman" w:hAnsi="Times New Roman" w:cs="Times New Roman"/>
          <w:color w:val="000000"/>
          <w:sz w:val="22"/>
          <w:szCs w:val="22"/>
        </w:rPr>
        <w:t>indivisa destinate a studenti universitari soci assegnatari, anche</w:t>
      </w:r>
      <w:r w:rsidR="000C3F14" w:rsidRPr="00560845">
        <w:rPr>
          <w:rFonts w:ascii="Times New Roman" w:hAnsi="Times New Roman" w:cs="Times New Roman"/>
          <w:color w:val="000000"/>
          <w:sz w:val="22"/>
          <w:szCs w:val="22"/>
        </w:rPr>
        <w:t xml:space="preserve"> </w:t>
      </w:r>
      <w:r w:rsidRPr="00560845">
        <w:rPr>
          <w:rFonts w:ascii="Times New Roman" w:hAnsi="Times New Roman" w:cs="Times New Roman"/>
          <w:color w:val="000000"/>
          <w:sz w:val="22"/>
          <w:szCs w:val="22"/>
        </w:rPr>
        <w:t>in assenza di residenza anagrafica;</w:t>
      </w:r>
    </w:p>
    <w:p w14:paraId="4E9876C6" w14:textId="77777777" w:rsidR="000452FB" w:rsidRPr="00560845" w:rsidRDefault="000452FB" w:rsidP="00560845">
      <w:pPr>
        <w:pStyle w:val="PreformattatoHTML"/>
        <w:shd w:val="clear" w:color="auto" w:fill="FFFFFF"/>
        <w:tabs>
          <w:tab w:val="left" w:pos="540"/>
        </w:tabs>
        <w:spacing w:line="264" w:lineRule="auto"/>
        <w:ind w:left="284" w:hanging="284"/>
        <w:jc w:val="both"/>
        <w:rPr>
          <w:rFonts w:ascii="Times New Roman" w:hAnsi="Times New Roman" w:cs="Times New Roman"/>
          <w:color w:val="000000"/>
          <w:sz w:val="22"/>
          <w:szCs w:val="22"/>
        </w:rPr>
      </w:pPr>
      <w:r w:rsidRPr="00560845">
        <w:rPr>
          <w:rFonts w:ascii="Times New Roman" w:hAnsi="Times New Roman" w:cs="Times New Roman"/>
          <w:color w:val="000000"/>
          <w:sz w:val="22"/>
          <w:szCs w:val="22"/>
        </w:rPr>
        <w:t xml:space="preserve">3) </w:t>
      </w:r>
      <w:r w:rsidR="00560845" w:rsidRPr="00560845">
        <w:rPr>
          <w:rFonts w:ascii="Times New Roman" w:hAnsi="Times New Roman" w:cs="Times New Roman"/>
          <w:color w:val="000000"/>
          <w:sz w:val="22"/>
          <w:szCs w:val="22"/>
        </w:rPr>
        <w:tab/>
      </w:r>
      <w:r w:rsidRPr="00560845">
        <w:rPr>
          <w:rFonts w:ascii="Times New Roman" w:hAnsi="Times New Roman" w:cs="Times New Roman"/>
          <w:color w:val="000000"/>
          <w:sz w:val="22"/>
          <w:szCs w:val="22"/>
        </w:rPr>
        <w:t>i fabbricati di civile abitazione destinati ad alloggi sociali come</w:t>
      </w:r>
      <w:r w:rsidR="000C3F14" w:rsidRPr="00560845">
        <w:rPr>
          <w:rFonts w:ascii="Times New Roman" w:hAnsi="Times New Roman" w:cs="Times New Roman"/>
          <w:color w:val="000000"/>
          <w:sz w:val="22"/>
          <w:szCs w:val="22"/>
        </w:rPr>
        <w:t xml:space="preserve"> </w:t>
      </w:r>
      <w:r w:rsidRPr="00560845">
        <w:rPr>
          <w:rFonts w:ascii="Times New Roman" w:hAnsi="Times New Roman" w:cs="Times New Roman"/>
          <w:color w:val="000000"/>
          <w:sz w:val="22"/>
          <w:szCs w:val="22"/>
        </w:rPr>
        <w:t xml:space="preserve">definiti dal </w:t>
      </w:r>
      <w:hyperlink r:id="rId9" w:history="1">
        <w:r w:rsidR="000C3F14" w:rsidRPr="00560845">
          <w:rPr>
            <w:rStyle w:val="Collegamentoipertestuale"/>
            <w:rFonts w:ascii="Times New Roman" w:hAnsi="Times New Roman"/>
            <w:color w:val="000000"/>
            <w:sz w:val="22"/>
            <w:szCs w:val="22"/>
            <w:u w:val="none"/>
          </w:rPr>
          <w:t xml:space="preserve">decreto del </w:t>
        </w:r>
        <w:r w:rsidRPr="00560845">
          <w:rPr>
            <w:rStyle w:val="Collegamentoipertestuale"/>
            <w:rFonts w:ascii="Times New Roman" w:hAnsi="Times New Roman"/>
            <w:color w:val="000000"/>
            <w:sz w:val="22"/>
            <w:szCs w:val="22"/>
            <w:u w:val="none"/>
          </w:rPr>
          <w:t>Ministro delle infrastrutture 22 aprile 2008</w:t>
        </w:r>
      </w:hyperlink>
      <w:r w:rsidRPr="00560845">
        <w:rPr>
          <w:rFonts w:ascii="Times New Roman" w:hAnsi="Times New Roman" w:cs="Times New Roman"/>
          <w:color w:val="000000"/>
          <w:sz w:val="22"/>
          <w:szCs w:val="22"/>
        </w:rPr>
        <w:t>,</w:t>
      </w:r>
      <w:r w:rsidR="000C3F14" w:rsidRPr="00560845">
        <w:rPr>
          <w:rFonts w:ascii="Times New Roman" w:hAnsi="Times New Roman" w:cs="Times New Roman"/>
          <w:color w:val="000000"/>
          <w:sz w:val="22"/>
          <w:szCs w:val="22"/>
        </w:rPr>
        <w:t xml:space="preserve"> </w:t>
      </w:r>
      <w:r w:rsidRPr="00560845">
        <w:rPr>
          <w:rFonts w:ascii="Times New Roman" w:hAnsi="Times New Roman" w:cs="Times New Roman"/>
          <w:color w:val="000000"/>
          <w:sz w:val="22"/>
          <w:szCs w:val="22"/>
        </w:rPr>
        <w:t>pubblicato nella</w:t>
      </w:r>
      <w:r w:rsidR="000C3F14" w:rsidRPr="00560845">
        <w:rPr>
          <w:rFonts w:ascii="Times New Roman" w:hAnsi="Times New Roman" w:cs="Times New Roman"/>
          <w:color w:val="000000"/>
          <w:sz w:val="22"/>
          <w:szCs w:val="22"/>
        </w:rPr>
        <w:t xml:space="preserve"> </w:t>
      </w:r>
      <w:r w:rsidRPr="00560845">
        <w:rPr>
          <w:rFonts w:ascii="Times New Roman" w:hAnsi="Times New Roman" w:cs="Times New Roman"/>
          <w:color w:val="000000"/>
          <w:sz w:val="22"/>
          <w:szCs w:val="22"/>
        </w:rPr>
        <w:t>G</w:t>
      </w:r>
      <w:r w:rsidR="000C3F14" w:rsidRPr="00560845">
        <w:rPr>
          <w:rFonts w:ascii="Times New Roman" w:hAnsi="Times New Roman" w:cs="Times New Roman"/>
          <w:color w:val="000000"/>
          <w:sz w:val="22"/>
          <w:szCs w:val="22"/>
        </w:rPr>
        <w:t>.U.</w:t>
      </w:r>
      <w:r w:rsidRPr="00560845">
        <w:rPr>
          <w:rFonts w:ascii="Times New Roman" w:hAnsi="Times New Roman" w:cs="Times New Roman"/>
          <w:color w:val="000000"/>
          <w:sz w:val="22"/>
          <w:szCs w:val="22"/>
        </w:rPr>
        <w:t xml:space="preserve"> n. 146</w:t>
      </w:r>
      <w:r w:rsidR="000C3F14" w:rsidRPr="00560845">
        <w:rPr>
          <w:rFonts w:ascii="Times New Roman" w:hAnsi="Times New Roman" w:cs="Times New Roman"/>
          <w:color w:val="000000"/>
          <w:sz w:val="22"/>
          <w:szCs w:val="22"/>
        </w:rPr>
        <w:t>/</w:t>
      </w:r>
      <w:r w:rsidRPr="00560845">
        <w:rPr>
          <w:rFonts w:ascii="Times New Roman" w:hAnsi="Times New Roman" w:cs="Times New Roman"/>
          <w:color w:val="000000"/>
          <w:sz w:val="22"/>
          <w:szCs w:val="22"/>
        </w:rPr>
        <w:t>2008, adibiti ad</w:t>
      </w:r>
      <w:r w:rsidR="000C3F14" w:rsidRPr="00560845">
        <w:rPr>
          <w:rFonts w:ascii="Times New Roman" w:hAnsi="Times New Roman" w:cs="Times New Roman"/>
          <w:color w:val="000000"/>
          <w:sz w:val="22"/>
          <w:szCs w:val="22"/>
        </w:rPr>
        <w:t xml:space="preserve"> </w:t>
      </w:r>
      <w:r w:rsidRPr="00560845">
        <w:rPr>
          <w:rFonts w:ascii="Times New Roman" w:hAnsi="Times New Roman" w:cs="Times New Roman"/>
          <w:color w:val="000000"/>
          <w:sz w:val="22"/>
          <w:szCs w:val="22"/>
        </w:rPr>
        <w:t>abitazione principale;</w:t>
      </w:r>
    </w:p>
    <w:p w14:paraId="4A1162DF" w14:textId="77777777" w:rsidR="000452FB" w:rsidRPr="00560845" w:rsidRDefault="000452FB" w:rsidP="00560845">
      <w:pPr>
        <w:pStyle w:val="PreformattatoHTML"/>
        <w:shd w:val="clear" w:color="auto" w:fill="FFFFFF"/>
        <w:tabs>
          <w:tab w:val="left" w:pos="540"/>
        </w:tabs>
        <w:spacing w:line="264" w:lineRule="auto"/>
        <w:ind w:left="284" w:hanging="284"/>
        <w:jc w:val="both"/>
        <w:rPr>
          <w:rFonts w:ascii="Times New Roman" w:hAnsi="Times New Roman" w:cs="Times New Roman"/>
          <w:color w:val="000000"/>
          <w:sz w:val="22"/>
          <w:szCs w:val="22"/>
        </w:rPr>
      </w:pPr>
      <w:r w:rsidRPr="00560845">
        <w:rPr>
          <w:rFonts w:ascii="Times New Roman" w:hAnsi="Times New Roman" w:cs="Times New Roman"/>
          <w:color w:val="000000"/>
          <w:sz w:val="22"/>
          <w:szCs w:val="22"/>
        </w:rPr>
        <w:t xml:space="preserve">4) </w:t>
      </w:r>
      <w:r w:rsidR="00560845" w:rsidRPr="00560845">
        <w:rPr>
          <w:rFonts w:ascii="Times New Roman" w:hAnsi="Times New Roman" w:cs="Times New Roman"/>
          <w:color w:val="000000"/>
          <w:sz w:val="22"/>
          <w:szCs w:val="22"/>
        </w:rPr>
        <w:tab/>
      </w:r>
      <w:r w:rsidRPr="00560845">
        <w:rPr>
          <w:rFonts w:ascii="Times New Roman" w:hAnsi="Times New Roman" w:cs="Times New Roman"/>
          <w:color w:val="000000"/>
          <w:sz w:val="22"/>
          <w:szCs w:val="22"/>
        </w:rPr>
        <w:t>la casa familiare assegnata al genitore affidatario dei figli, a</w:t>
      </w:r>
      <w:r w:rsidR="000C3F14" w:rsidRPr="00560845">
        <w:rPr>
          <w:rFonts w:ascii="Times New Roman" w:hAnsi="Times New Roman" w:cs="Times New Roman"/>
          <w:color w:val="000000"/>
          <w:sz w:val="22"/>
          <w:szCs w:val="22"/>
        </w:rPr>
        <w:t xml:space="preserve"> </w:t>
      </w:r>
      <w:r w:rsidRPr="00560845">
        <w:rPr>
          <w:rFonts w:ascii="Times New Roman" w:hAnsi="Times New Roman" w:cs="Times New Roman"/>
          <w:color w:val="000000"/>
          <w:sz w:val="22"/>
          <w:szCs w:val="22"/>
        </w:rPr>
        <w:t>seguito di provvedimento del giudice che costituisce altresì, ai soli fini</w:t>
      </w:r>
      <w:r w:rsidR="000C3F14" w:rsidRPr="00560845">
        <w:rPr>
          <w:rFonts w:ascii="Times New Roman" w:hAnsi="Times New Roman" w:cs="Times New Roman"/>
          <w:color w:val="000000"/>
          <w:sz w:val="22"/>
          <w:szCs w:val="22"/>
        </w:rPr>
        <w:t xml:space="preserve"> </w:t>
      </w:r>
      <w:r w:rsidRPr="00560845">
        <w:rPr>
          <w:rFonts w:ascii="Times New Roman" w:hAnsi="Times New Roman" w:cs="Times New Roman"/>
          <w:color w:val="000000"/>
          <w:sz w:val="22"/>
          <w:szCs w:val="22"/>
        </w:rPr>
        <w:t>dell'applicazione dell'imposta, il diritto di abitazione in capo al genitore</w:t>
      </w:r>
      <w:r w:rsidR="000C3F14" w:rsidRPr="00560845">
        <w:rPr>
          <w:rFonts w:ascii="Times New Roman" w:hAnsi="Times New Roman" w:cs="Times New Roman"/>
          <w:color w:val="000000"/>
          <w:sz w:val="22"/>
          <w:szCs w:val="22"/>
        </w:rPr>
        <w:t xml:space="preserve"> </w:t>
      </w:r>
      <w:r w:rsidRPr="00560845">
        <w:rPr>
          <w:rFonts w:ascii="Times New Roman" w:hAnsi="Times New Roman" w:cs="Times New Roman"/>
          <w:color w:val="000000"/>
          <w:sz w:val="22"/>
          <w:szCs w:val="22"/>
        </w:rPr>
        <w:t>affidatario stesso;</w:t>
      </w:r>
    </w:p>
    <w:p w14:paraId="180ACFCB" w14:textId="77777777" w:rsidR="000452FB" w:rsidRPr="00560845" w:rsidRDefault="000452FB" w:rsidP="00560845">
      <w:pPr>
        <w:pStyle w:val="PreformattatoHTML"/>
        <w:shd w:val="clear" w:color="auto" w:fill="FFFFFF"/>
        <w:tabs>
          <w:tab w:val="left" w:pos="540"/>
        </w:tabs>
        <w:spacing w:line="264" w:lineRule="auto"/>
        <w:ind w:left="284" w:hanging="284"/>
        <w:jc w:val="both"/>
        <w:rPr>
          <w:rFonts w:ascii="Times New Roman" w:hAnsi="Times New Roman" w:cs="Times New Roman"/>
          <w:color w:val="000000"/>
          <w:sz w:val="22"/>
          <w:szCs w:val="22"/>
        </w:rPr>
      </w:pPr>
      <w:r w:rsidRPr="00560845">
        <w:rPr>
          <w:rFonts w:ascii="Times New Roman" w:hAnsi="Times New Roman" w:cs="Times New Roman"/>
          <w:color w:val="000000"/>
          <w:sz w:val="22"/>
          <w:szCs w:val="22"/>
        </w:rPr>
        <w:lastRenderedPageBreak/>
        <w:t xml:space="preserve">5) </w:t>
      </w:r>
      <w:r w:rsidR="00560845" w:rsidRPr="00560845">
        <w:rPr>
          <w:rFonts w:ascii="Times New Roman" w:hAnsi="Times New Roman" w:cs="Times New Roman"/>
          <w:color w:val="000000"/>
          <w:sz w:val="22"/>
          <w:szCs w:val="22"/>
        </w:rPr>
        <w:tab/>
      </w:r>
      <w:r w:rsidRPr="00560845">
        <w:rPr>
          <w:rFonts w:ascii="Times New Roman" w:hAnsi="Times New Roman" w:cs="Times New Roman"/>
          <w:color w:val="000000"/>
          <w:sz w:val="22"/>
          <w:szCs w:val="22"/>
        </w:rPr>
        <w:t>un solo immobile, iscritto o iscrivibile nel catasto edilizio</w:t>
      </w:r>
      <w:r w:rsidR="000C3F14" w:rsidRPr="00560845">
        <w:rPr>
          <w:rFonts w:ascii="Times New Roman" w:hAnsi="Times New Roman" w:cs="Times New Roman"/>
          <w:color w:val="000000"/>
          <w:sz w:val="22"/>
          <w:szCs w:val="22"/>
        </w:rPr>
        <w:t xml:space="preserve"> </w:t>
      </w:r>
      <w:r w:rsidRPr="00560845">
        <w:rPr>
          <w:rFonts w:ascii="Times New Roman" w:hAnsi="Times New Roman" w:cs="Times New Roman"/>
          <w:color w:val="000000"/>
          <w:sz w:val="22"/>
          <w:szCs w:val="22"/>
        </w:rPr>
        <w:t>urbano come unica unità immobiliare, posseduto e non concesso in locazione</w:t>
      </w:r>
      <w:r w:rsidR="000C3F14" w:rsidRPr="00560845">
        <w:rPr>
          <w:rFonts w:ascii="Times New Roman" w:hAnsi="Times New Roman" w:cs="Times New Roman"/>
          <w:color w:val="000000"/>
          <w:sz w:val="22"/>
          <w:szCs w:val="22"/>
        </w:rPr>
        <w:t xml:space="preserve"> </w:t>
      </w:r>
      <w:r w:rsidRPr="00560845">
        <w:rPr>
          <w:rFonts w:ascii="Times New Roman" w:hAnsi="Times New Roman" w:cs="Times New Roman"/>
          <w:color w:val="000000"/>
          <w:sz w:val="22"/>
          <w:szCs w:val="22"/>
        </w:rPr>
        <w:t xml:space="preserve">dal personale in servizio permanente </w:t>
      </w:r>
      <w:r w:rsidR="000C3F14" w:rsidRPr="00560845">
        <w:rPr>
          <w:rFonts w:ascii="Times New Roman" w:hAnsi="Times New Roman" w:cs="Times New Roman"/>
          <w:color w:val="000000"/>
          <w:sz w:val="22"/>
          <w:szCs w:val="22"/>
        </w:rPr>
        <w:t xml:space="preserve">appartenente alle Forze armate </w:t>
      </w:r>
      <w:r w:rsidRPr="00560845">
        <w:rPr>
          <w:rFonts w:ascii="Times New Roman" w:hAnsi="Times New Roman" w:cs="Times New Roman"/>
          <w:color w:val="000000"/>
          <w:sz w:val="22"/>
          <w:szCs w:val="22"/>
        </w:rPr>
        <w:t>e alle</w:t>
      </w:r>
      <w:r w:rsidR="000C3F14" w:rsidRPr="00560845">
        <w:rPr>
          <w:rFonts w:ascii="Times New Roman" w:hAnsi="Times New Roman" w:cs="Times New Roman"/>
          <w:color w:val="000000"/>
          <w:sz w:val="22"/>
          <w:szCs w:val="22"/>
        </w:rPr>
        <w:t xml:space="preserve"> </w:t>
      </w:r>
      <w:r w:rsidRPr="00560845">
        <w:rPr>
          <w:rFonts w:ascii="Times New Roman" w:hAnsi="Times New Roman" w:cs="Times New Roman"/>
          <w:color w:val="000000"/>
          <w:sz w:val="22"/>
          <w:szCs w:val="22"/>
        </w:rPr>
        <w:t>Forze di polizia ad ordinamento militare e da quello dipendente delle Forze</w:t>
      </w:r>
      <w:r w:rsidR="000C3F14" w:rsidRPr="00560845">
        <w:rPr>
          <w:rFonts w:ascii="Times New Roman" w:hAnsi="Times New Roman" w:cs="Times New Roman"/>
          <w:color w:val="000000"/>
          <w:sz w:val="22"/>
          <w:szCs w:val="22"/>
        </w:rPr>
        <w:t xml:space="preserve"> </w:t>
      </w:r>
      <w:r w:rsidRPr="00560845">
        <w:rPr>
          <w:rFonts w:ascii="Times New Roman" w:hAnsi="Times New Roman" w:cs="Times New Roman"/>
          <w:color w:val="000000"/>
          <w:sz w:val="22"/>
          <w:szCs w:val="22"/>
        </w:rPr>
        <w:t>di polizia ad ordinamento civile, nonché dal personale del Corpo nazionale</w:t>
      </w:r>
      <w:r w:rsidR="000C3F14" w:rsidRPr="00560845">
        <w:rPr>
          <w:rFonts w:ascii="Times New Roman" w:hAnsi="Times New Roman" w:cs="Times New Roman"/>
          <w:color w:val="000000"/>
          <w:sz w:val="22"/>
          <w:szCs w:val="22"/>
        </w:rPr>
        <w:t xml:space="preserve"> </w:t>
      </w:r>
      <w:r w:rsidRPr="00560845">
        <w:rPr>
          <w:rFonts w:ascii="Times New Roman" w:hAnsi="Times New Roman" w:cs="Times New Roman"/>
          <w:color w:val="000000"/>
          <w:sz w:val="22"/>
          <w:szCs w:val="22"/>
        </w:rPr>
        <w:t>dei vigili del fuoco e, fatto salvo quanto previsto dall'articolo 28, comma</w:t>
      </w:r>
      <w:r w:rsidR="000C3F14" w:rsidRPr="00560845">
        <w:rPr>
          <w:rFonts w:ascii="Times New Roman" w:hAnsi="Times New Roman" w:cs="Times New Roman"/>
          <w:color w:val="000000"/>
          <w:sz w:val="22"/>
          <w:szCs w:val="22"/>
        </w:rPr>
        <w:t xml:space="preserve"> </w:t>
      </w:r>
      <w:r w:rsidRPr="00560845">
        <w:rPr>
          <w:rFonts w:ascii="Times New Roman" w:hAnsi="Times New Roman" w:cs="Times New Roman"/>
          <w:color w:val="000000"/>
          <w:sz w:val="22"/>
          <w:szCs w:val="22"/>
        </w:rPr>
        <w:t>1, del</w:t>
      </w:r>
      <w:r w:rsidR="000C3F14" w:rsidRPr="00560845">
        <w:rPr>
          <w:rFonts w:ascii="Times New Roman" w:hAnsi="Times New Roman" w:cs="Times New Roman"/>
          <w:color w:val="000000"/>
          <w:sz w:val="22"/>
          <w:szCs w:val="22"/>
        </w:rPr>
        <w:t xml:space="preserve"> D.Lgs. n. 139/2000</w:t>
      </w:r>
      <w:r w:rsidRPr="00560845">
        <w:rPr>
          <w:rFonts w:ascii="Times New Roman" w:hAnsi="Times New Roman" w:cs="Times New Roman"/>
          <w:color w:val="000000"/>
          <w:sz w:val="22"/>
          <w:szCs w:val="22"/>
        </w:rPr>
        <w:t>, dal personale</w:t>
      </w:r>
      <w:r w:rsidR="000C3F14" w:rsidRPr="00560845">
        <w:rPr>
          <w:rFonts w:ascii="Times New Roman" w:hAnsi="Times New Roman" w:cs="Times New Roman"/>
          <w:color w:val="000000"/>
          <w:sz w:val="22"/>
          <w:szCs w:val="22"/>
        </w:rPr>
        <w:t xml:space="preserve"> </w:t>
      </w:r>
      <w:r w:rsidRPr="00560845">
        <w:rPr>
          <w:rFonts w:ascii="Times New Roman" w:hAnsi="Times New Roman" w:cs="Times New Roman"/>
          <w:color w:val="000000"/>
          <w:sz w:val="22"/>
          <w:szCs w:val="22"/>
        </w:rPr>
        <w:t>appartenente alla carriera prefettizia, per il quale non</w:t>
      </w:r>
      <w:r w:rsidR="000C3F14" w:rsidRPr="00560845">
        <w:rPr>
          <w:rFonts w:ascii="Times New Roman" w:hAnsi="Times New Roman" w:cs="Times New Roman"/>
          <w:color w:val="000000"/>
          <w:sz w:val="22"/>
          <w:szCs w:val="22"/>
        </w:rPr>
        <w:t xml:space="preserve"> </w:t>
      </w:r>
      <w:r w:rsidRPr="00560845">
        <w:rPr>
          <w:rFonts w:ascii="Times New Roman" w:hAnsi="Times New Roman" w:cs="Times New Roman"/>
          <w:color w:val="000000"/>
          <w:sz w:val="22"/>
          <w:szCs w:val="22"/>
        </w:rPr>
        <w:t>sono richieste le</w:t>
      </w:r>
      <w:r w:rsidR="000C3F14" w:rsidRPr="00560845">
        <w:rPr>
          <w:rFonts w:ascii="Times New Roman" w:hAnsi="Times New Roman" w:cs="Times New Roman"/>
          <w:color w:val="000000"/>
          <w:sz w:val="22"/>
          <w:szCs w:val="22"/>
        </w:rPr>
        <w:t xml:space="preserve"> </w:t>
      </w:r>
      <w:r w:rsidRPr="00560845">
        <w:rPr>
          <w:rFonts w:ascii="Times New Roman" w:hAnsi="Times New Roman" w:cs="Times New Roman"/>
          <w:color w:val="000000"/>
          <w:sz w:val="22"/>
          <w:szCs w:val="22"/>
        </w:rPr>
        <w:t>condizioni della dimora abituale e della residenza anagrafica;</w:t>
      </w:r>
    </w:p>
    <w:p w14:paraId="71D25CDC" w14:textId="77777777" w:rsidR="000452FB" w:rsidRPr="00560845" w:rsidRDefault="000452FB" w:rsidP="00560845">
      <w:pPr>
        <w:pStyle w:val="PreformattatoHTML"/>
        <w:shd w:val="clear" w:color="auto" w:fill="FFFFFF"/>
        <w:spacing w:after="120" w:line="264" w:lineRule="auto"/>
        <w:ind w:left="284" w:hanging="284"/>
        <w:jc w:val="both"/>
        <w:rPr>
          <w:rFonts w:ascii="Times New Roman" w:hAnsi="Times New Roman" w:cs="Times New Roman"/>
          <w:color w:val="000000"/>
          <w:sz w:val="22"/>
          <w:szCs w:val="22"/>
        </w:rPr>
      </w:pPr>
      <w:r w:rsidRPr="00560845">
        <w:rPr>
          <w:rFonts w:ascii="Times New Roman" w:hAnsi="Times New Roman" w:cs="Times New Roman"/>
          <w:color w:val="000000"/>
          <w:sz w:val="22"/>
          <w:szCs w:val="22"/>
        </w:rPr>
        <w:t xml:space="preserve">6) </w:t>
      </w:r>
      <w:r w:rsidR="00560845" w:rsidRPr="00560845">
        <w:rPr>
          <w:rFonts w:ascii="Times New Roman" w:hAnsi="Times New Roman" w:cs="Times New Roman"/>
          <w:color w:val="000000"/>
          <w:sz w:val="22"/>
          <w:szCs w:val="22"/>
        </w:rPr>
        <w:tab/>
      </w:r>
      <w:r w:rsidRPr="00560845">
        <w:rPr>
          <w:rFonts w:ascii="Times New Roman" w:hAnsi="Times New Roman" w:cs="Times New Roman"/>
          <w:color w:val="000000"/>
          <w:sz w:val="22"/>
          <w:szCs w:val="22"/>
        </w:rPr>
        <w:t>l'unità immobiliare posseduta da</w:t>
      </w:r>
      <w:r w:rsidR="000C3F14" w:rsidRPr="00560845">
        <w:rPr>
          <w:rFonts w:ascii="Times New Roman" w:hAnsi="Times New Roman" w:cs="Times New Roman"/>
          <w:color w:val="000000"/>
          <w:sz w:val="22"/>
          <w:szCs w:val="22"/>
        </w:rPr>
        <w:t xml:space="preserve"> </w:t>
      </w:r>
      <w:r w:rsidRPr="00560845">
        <w:rPr>
          <w:rFonts w:ascii="Times New Roman" w:hAnsi="Times New Roman" w:cs="Times New Roman"/>
          <w:color w:val="000000"/>
          <w:sz w:val="22"/>
          <w:szCs w:val="22"/>
        </w:rPr>
        <w:t>anziani o disabili che acquisiscono la residenza in istituti di ricovero o</w:t>
      </w:r>
      <w:r w:rsidR="000C3F14" w:rsidRPr="00560845">
        <w:rPr>
          <w:rFonts w:ascii="Times New Roman" w:hAnsi="Times New Roman" w:cs="Times New Roman"/>
          <w:color w:val="000000"/>
          <w:sz w:val="22"/>
          <w:szCs w:val="22"/>
        </w:rPr>
        <w:t xml:space="preserve"> </w:t>
      </w:r>
      <w:r w:rsidRPr="00560845">
        <w:rPr>
          <w:rFonts w:ascii="Times New Roman" w:hAnsi="Times New Roman" w:cs="Times New Roman"/>
          <w:color w:val="000000"/>
          <w:sz w:val="22"/>
          <w:szCs w:val="22"/>
        </w:rPr>
        <w:t>sanitari a seguito di ricovero permanente, a condizione che la stessa non</w:t>
      </w:r>
      <w:r w:rsidR="000C3F14" w:rsidRPr="00560845">
        <w:rPr>
          <w:rFonts w:ascii="Times New Roman" w:hAnsi="Times New Roman" w:cs="Times New Roman"/>
          <w:color w:val="000000"/>
          <w:sz w:val="22"/>
          <w:szCs w:val="22"/>
        </w:rPr>
        <w:t xml:space="preserve"> </w:t>
      </w:r>
      <w:r w:rsidRPr="00560845">
        <w:rPr>
          <w:rFonts w:ascii="Times New Roman" w:hAnsi="Times New Roman" w:cs="Times New Roman"/>
          <w:color w:val="000000"/>
          <w:sz w:val="22"/>
          <w:szCs w:val="22"/>
        </w:rPr>
        <w:t>risulti locata</w:t>
      </w:r>
      <w:r w:rsidR="000C3F14" w:rsidRPr="00560845">
        <w:rPr>
          <w:rFonts w:ascii="Times New Roman" w:hAnsi="Times New Roman" w:cs="Times New Roman"/>
          <w:color w:val="000000"/>
          <w:sz w:val="22"/>
          <w:szCs w:val="22"/>
        </w:rPr>
        <w:t>; i</w:t>
      </w:r>
      <w:r w:rsidRPr="00560845">
        <w:rPr>
          <w:rFonts w:ascii="Times New Roman" w:hAnsi="Times New Roman" w:cs="Times New Roman"/>
          <w:color w:val="000000"/>
          <w:sz w:val="22"/>
          <w:szCs w:val="22"/>
        </w:rPr>
        <w:t>n caso di più unità immobiliari, la predetta agevolazione</w:t>
      </w:r>
      <w:r w:rsidR="000C3F14" w:rsidRPr="00560845">
        <w:rPr>
          <w:rFonts w:ascii="Times New Roman" w:hAnsi="Times New Roman" w:cs="Times New Roman"/>
          <w:color w:val="000000"/>
          <w:sz w:val="22"/>
          <w:szCs w:val="22"/>
        </w:rPr>
        <w:t xml:space="preserve"> </w:t>
      </w:r>
      <w:r w:rsidRPr="00560845">
        <w:rPr>
          <w:rFonts w:ascii="Times New Roman" w:hAnsi="Times New Roman" w:cs="Times New Roman"/>
          <w:color w:val="000000"/>
          <w:sz w:val="22"/>
          <w:szCs w:val="22"/>
        </w:rPr>
        <w:t>può essere applicata ad una sola unità immobiliare</w:t>
      </w:r>
      <w:r w:rsidR="004515F1" w:rsidRPr="00560845">
        <w:rPr>
          <w:rStyle w:val="Rimandonotaapidipagina"/>
          <w:rFonts w:ascii="Times New Roman" w:hAnsi="Times New Roman"/>
          <w:color w:val="000000"/>
          <w:sz w:val="22"/>
          <w:szCs w:val="22"/>
        </w:rPr>
        <w:footnoteReference w:id="1"/>
      </w:r>
      <w:r w:rsidR="000C3F14" w:rsidRPr="00560845">
        <w:rPr>
          <w:rFonts w:ascii="Times New Roman" w:hAnsi="Times New Roman" w:cs="Times New Roman"/>
          <w:color w:val="000000"/>
          <w:sz w:val="22"/>
          <w:szCs w:val="22"/>
        </w:rPr>
        <w:t>.</w:t>
      </w:r>
    </w:p>
    <w:p w14:paraId="2E415404" w14:textId="77777777" w:rsidR="007E1D7D" w:rsidRPr="00560845" w:rsidRDefault="007E1D7D" w:rsidP="00560845">
      <w:pPr>
        <w:pStyle w:val="PreformattatoHTML"/>
        <w:shd w:val="clear" w:color="auto" w:fill="FFFFFF"/>
        <w:spacing w:after="120" w:line="264" w:lineRule="auto"/>
        <w:jc w:val="both"/>
        <w:rPr>
          <w:rFonts w:ascii="Times New Roman" w:hAnsi="Times New Roman" w:cs="Times New Roman"/>
          <w:color w:val="000000"/>
          <w:sz w:val="22"/>
          <w:szCs w:val="22"/>
        </w:rPr>
      </w:pPr>
      <w:r w:rsidRPr="00560845">
        <w:rPr>
          <w:rFonts w:ascii="Times New Roman" w:hAnsi="Times New Roman" w:cs="Times New Roman"/>
          <w:color w:val="000000"/>
          <w:sz w:val="22"/>
          <w:szCs w:val="22"/>
        </w:rPr>
        <w:t xml:space="preserve">Per </w:t>
      </w:r>
      <w:r w:rsidRPr="00560845">
        <w:rPr>
          <w:rFonts w:ascii="Times New Roman" w:hAnsi="Times New Roman" w:cs="Times New Roman"/>
          <w:b/>
          <w:color w:val="000000"/>
          <w:sz w:val="22"/>
          <w:szCs w:val="22"/>
          <w:u w:val="single"/>
        </w:rPr>
        <w:t>area fabbricabile</w:t>
      </w:r>
      <w:r w:rsidRPr="00560845">
        <w:rPr>
          <w:rFonts w:ascii="Times New Roman" w:hAnsi="Times New Roman" w:cs="Times New Roman"/>
          <w:color w:val="000000"/>
          <w:sz w:val="22"/>
          <w:szCs w:val="22"/>
        </w:rPr>
        <w:t xml:space="preserve"> si intende l'area utilizzabile a scopo edificatorio in base agli strumenti urbanistici generali o attuativi.</w:t>
      </w:r>
    </w:p>
    <w:p w14:paraId="1B40ED1B" w14:textId="77777777" w:rsidR="007E1D7D" w:rsidRPr="00560845" w:rsidRDefault="007E1D7D" w:rsidP="00560845">
      <w:pPr>
        <w:pStyle w:val="PreformattatoHTML"/>
        <w:shd w:val="clear" w:color="auto" w:fill="FFFFFF"/>
        <w:spacing w:after="120" w:line="264" w:lineRule="auto"/>
        <w:jc w:val="both"/>
        <w:rPr>
          <w:rFonts w:ascii="Times New Roman" w:hAnsi="Times New Roman" w:cs="Times New Roman"/>
          <w:color w:val="000000"/>
          <w:sz w:val="22"/>
          <w:szCs w:val="22"/>
        </w:rPr>
      </w:pPr>
      <w:r w:rsidRPr="00560845">
        <w:rPr>
          <w:rFonts w:ascii="Times New Roman" w:hAnsi="Times New Roman" w:cs="Times New Roman"/>
          <w:color w:val="000000"/>
          <w:sz w:val="22"/>
          <w:szCs w:val="22"/>
        </w:rPr>
        <w:t xml:space="preserve">Per </w:t>
      </w:r>
      <w:r w:rsidRPr="00560845">
        <w:rPr>
          <w:rFonts w:ascii="Times New Roman" w:hAnsi="Times New Roman" w:cs="Times New Roman"/>
          <w:b/>
          <w:color w:val="000000"/>
          <w:sz w:val="22"/>
          <w:szCs w:val="22"/>
          <w:u w:val="single"/>
        </w:rPr>
        <w:t>terreno agricolo</w:t>
      </w:r>
      <w:r w:rsidRPr="00560845">
        <w:rPr>
          <w:rFonts w:ascii="Times New Roman" w:hAnsi="Times New Roman" w:cs="Times New Roman"/>
          <w:color w:val="000000"/>
          <w:sz w:val="22"/>
          <w:szCs w:val="22"/>
        </w:rPr>
        <w:t xml:space="preserve"> si intende il terreno iscritto in catasto, a qualsiasi uso destinato, compreso quello non coltivato.</w:t>
      </w:r>
    </w:p>
    <w:p w14:paraId="24D4DB82" w14:textId="77777777" w:rsidR="001A4527" w:rsidRPr="00560845" w:rsidRDefault="005D4037" w:rsidP="00560845">
      <w:pPr>
        <w:pStyle w:val="PreformattatoHTML"/>
        <w:shd w:val="clear" w:color="auto" w:fill="FFFFFF"/>
        <w:spacing w:line="264" w:lineRule="auto"/>
        <w:jc w:val="both"/>
        <w:rPr>
          <w:rFonts w:ascii="Times New Roman" w:hAnsi="Times New Roman" w:cs="Times New Roman"/>
          <w:color w:val="000000"/>
          <w:sz w:val="22"/>
          <w:szCs w:val="22"/>
        </w:rPr>
      </w:pPr>
      <w:r w:rsidRPr="00560845">
        <w:rPr>
          <w:rFonts w:ascii="Times New Roman" w:hAnsi="Times New Roman" w:cs="Times New Roman"/>
          <w:color w:val="000000"/>
          <w:sz w:val="22"/>
          <w:szCs w:val="22"/>
        </w:rPr>
        <w:t>E'</w:t>
      </w:r>
      <w:r w:rsidR="001A4527" w:rsidRPr="00560845">
        <w:rPr>
          <w:rFonts w:ascii="Times New Roman" w:hAnsi="Times New Roman" w:cs="Times New Roman"/>
          <w:color w:val="000000"/>
          <w:sz w:val="22"/>
          <w:szCs w:val="22"/>
        </w:rPr>
        <w:t xml:space="preserve"> </w:t>
      </w:r>
      <w:r w:rsidRPr="00560845">
        <w:rPr>
          <w:rFonts w:ascii="Times New Roman" w:hAnsi="Times New Roman" w:cs="Times New Roman"/>
          <w:b/>
          <w:color w:val="000000"/>
          <w:sz w:val="22"/>
          <w:szCs w:val="22"/>
          <w:u w:val="single"/>
        </w:rPr>
        <w:t>soggetto passivo</w:t>
      </w:r>
      <w:r w:rsidRPr="00560845">
        <w:rPr>
          <w:rFonts w:ascii="Times New Roman" w:hAnsi="Times New Roman" w:cs="Times New Roman"/>
          <w:color w:val="000000"/>
          <w:sz w:val="22"/>
          <w:szCs w:val="22"/>
        </w:rPr>
        <w:t xml:space="preserve"> dell'imposta</w:t>
      </w:r>
      <w:r w:rsidR="001A4527" w:rsidRPr="00560845">
        <w:rPr>
          <w:rFonts w:ascii="Times New Roman" w:hAnsi="Times New Roman" w:cs="Times New Roman"/>
          <w:color w:val="000000"/>
          <w:sz w:val="22"/>
          <w:szCs w:val="22"/>
        </w:rPr>
        <w:t xml:space="preserve"> anche:</w:t>
      </w:r>
    </w:p>
    <w:p w14:paraId="14F5D4A2" w14:textId="77777777" w:rsidR="001A4527" w:rsidRPr="00560845" w:rsidRDefault="005D4037" w:rsidP="00560845">
      <w:pPr>
        <w:pStyle w:val="PreformattatoHTML"/>
        <w:numPr>
          <w:ilvl w:val="0"/>
          <w:numId w:val="1"/>
        </w:numPr>
        <w:shd w:val="clear" w:color="auto" w:fill="FFFFFF"/>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4" w:lineRule="auto"/>
        <w:ind w:left="284" w:hanging="284"/>
        <w:jc w:val="both"/>
        <w:rPr>
          <w:rFonts w:ascii="Times New Roman" w:hAnsi="Times New Roman" w:cs="Times New Roman"/>
          <w:color w:val="000000"/>
          <w:sz w:val="22"/>
          <w:szCs w:val="22"/>
        </w:rPr>
      </w:pPr>
      <w:r w:rsidRPr="00560845">
        <w:rPr>
          <w:rFonts w:ascii="Times New Roman" w:hAnsi="Times New Roman" w:cs="Times New Roman"/>
          <w:color w:val="000000"/>
          <w:sz w:val="22"/>
          <w:szCs w:val="22"/>
        </w:rPr>
        <w:t xml:space="preserve">il </w:t>
      </w:r>
      <w:r w:rsidRPr="00560845">
        <w:rPr>
          <w:rFonts w:ascii="Times New Roman" w:hAnsi="Times New Roman" w:cs="Times New Roman"/>
          <w:color w:val="000000"/>
          <w:sz w:val="22"/>
          <w:szCs w:val="22"/>
          <w:u w:val="single"/>
        </w:rPr>
        <w:t>genitore assegnatario</w:t>
      </w:r>
      <w:r w:rsidRPr="00560845">
        <w:rPr>
          <w:rFonts w:ascii="Times New Roman" w:hAnsi="Times New Roman" w:cs="Times New Roman"/>
          <w:color w:val="000000"/>
          <w:sz w:val="22"/>
          <w:szCs w:val="22"/>
        </w:rPr>
        <w:t xml:space="preserve"> della casa familiare</w:t>
      </w:r>
      <w:r w:rsidR="001A4527" w:rsidRPr="00560845">
        <w:rPr>
          <w:rFonts w:ascii="Times New Roman" w:hAnsi="Times New Roman" w:cs="Times New Roman"/>
          <w:color w:val="000000"/>
          <w:sz w:val="22"/>
          <w:szCs w:val="22"/>
        </w:rPr>
        <w:t xml:space="preserve"> </w:t>
      </w:r>
      <w:r w:rsidRPr="00560845">
        <w:rPr>
          <w:rFonts w:ascii="Times New Roman" w:hAnsi="Times New Roman" w:cs="Times New Roman"/>
          <w:color w:val="000000"/>
          <w:sz w:val="22"/>
          <w:szCs w:val="22"/>
        </w:rPr>
        <w:t>a seguito di provvedimento del giudice che costituisce altresì il diritto di</w:t>
      </w:r>
      <w:r w:rsidR="001A4527" w:rsidRPr="00560845">
        <w:rPr>
          <w:rFonts w:ascii="Times New Roman" w:hAnsi="Times New Roman" w:cs="Times New Roman"/>
          <w:color w:val="000000"/>
          <w:sz w:val="22"/>
          <w:szCs w:val="22"/>
        </w:rPr>
        <w:t xml:space="preserve"> </w:t>
      </w:r>
      <w:r w:rsidRPr="00560845">
        <w:rPr>
          <w:rFonts w:ascii="Times New Roman" w:hAnsi="Times New Roman" w:cs="Times New Roman"/>
          <w:color w:val="000000"/>
          <w:sz w:val="22"/>
          <w:szCs w:val="22"/>
        </w:rPr>
        <w:t>abitazione in</w:t>
      </w:r>
      <w:r w:rsidR="001A4527" w:rsidRPr="00560845">
        <w:rPr>
          <w:rFonts w:ascii="Times New Roman" w:hAnsi="Times New Roman" w:cs="Times New Roman"/>
          <w:color w:val="000000"/>
          <w:sz w:val="22"/>
          <w:szCs w:val="22"/>
        </w:rPr>
        <w:t xml:space="preserve"> </w:t>
      </w:r>
      <w:r w:rsidRPr="00560845">
        <w:rPr>
          <w:rFonts w:ascii="Times New Roman" w:hAnsi="Times New Roman" w:cs="Times New Roman"/>
          <w:color w:val="000000"/>
          <w:sz w:val="22"/>
          <w:szCs w:val="22"/>
        </w:rPr>
        <w:t>capo al genitore affidatario dei figli</w:t>
      </w:r>
      <w:r w:rsidR="001A4527" w:rsidRPr="00560845">
        <w:rPr>
          <w:rFonts w:ascii="Times New Roman" w:hAnsi="Times New Roman" w:cs="Times New Roman"/>
          <w:color w:val="000000"/>
          <w:sz w:val="22"/>
          <w:szCs w:val="22"/>
        </w:rPr>
        <w:t>,</w:t>
      </w:r>
    </w:p>
    <w:p w14:paraId="35EB0C7D" w14:textId="77777777" w:rsidR="001A4527" w:rsidRPr="00560845" w:rsidRDefault="001A4527" w:rsidP="00560845">
      <w:pPr>
        <w:pStyle w:val="PreformattatoHTML"/>
        <w:numPr>
          <w:ilvl w:val="0"/>
          <w:numId w:val="1"/>
        </w:numPr>
        <w:shd w:val="clear" w:color="auto" w:fill="FFFFFF"/>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4" w:lineRule="auto"/>
        <w:ind w:left="284" w:hanging="284"/>
        <w:jc w:val="both"/>
        <w:rPr>
          <w:rFonts w:ascii="Times New Roman" w:hAnsi="Times New Roman" w:cs="Times New Roman"/>
          <w:color w:val="000000"/>
          <w:sz w:val="22"/>
          <w:szCs w:val="22"/>
        </w:rPr>
      </w:pPr>
      <w:r w:rsidRPr="00560845">
        <w:rPr>
          <w:rFonts w:ascii="Times New Roman" w:hAnsi="Times New Roman" w:cs="Times New Roman"/>
          <w:color w:val="000000"/>
          <w:sz w:val="22"/>
          <w:szCs w:val="22"/>
        </w:rPr>
        <w:t xml:space="preserve">nel </w:t>
      </w:r>
      <w:r w:rsidR="005D4037" w:rsidRPr="00560845">
        <w:rPr>
          <w:rFonts w:ascii="Times New Roman" w:hAnsi="Times New Roman" w:cs="Times New Roman"/>
          <w:color w:val="000000"/>
          <w:sz w:val="22"/>
          <w:szCs w:val="22"/>
        </w:rPr>
        <w:t>caso di</w:t>
      </w:r>
      <w:r w:rsidRPr="00560845">
        <w:rPr>
          <w:rFonts w:ascii="Times New Roman" w:hAnsi="Times New Roman" w:cs="Times New Roman"/>
          <w:color w:val="000000"/>
          <w:sz w:val="22"/>
          <w:szCs w:val="22"/>
        </w:rPr>
        <w:t xml:space="preserve"> </w:t>
      </w:r>
      <w:r w:rsidR="005D4037" w:rsidRPr="00560845">
        <w:rPr>
          <w:rFonts w:ascii="Times New Roman" w:hAnsi="Times New Roman" w:cs="Times New Roman"/>
          <w:color w:val="000000"/>
          <w:sz w:val="22"/>
          <w:szCs w:val="22"/>
        </w:rPr>
        <w:t xml:space="preserve">concessione di aree demaniali, il soggetto passivo è il </w:t>
      </w:r>
      <w:r w:rsidR="005D4037" w:rsidRPr="00560845">
        <w:rPr>
          <w:rFonts w:ascii="Times New Roman" w:hAnsi="Times New Roman" w:cs="Times New Roman"/>
          <w:color w:val="000000"/>
          <w:sz w:val="22"/>
          <w:szCs w:val="22"/>
          <w:u w:val="single"/>
        </w:rPr>
        <w:t>concessionario</w:t>
      </w:r>
      <w:r w:rsidRPr="00560845">
        <w:rPr>
          <w:rFonts w:ascii="Times New Roman" w:hAnsi="Times New Roman" w:cs="Times New Roman"/>
          <w:color w:val="000000"/>
          <w:sz w:val="22"/>
          <w:szCs w:val="22"/>
        </w:rPr>
        <w:t>,</w:t>
      </w:r>
    </w:p>
    <w:p w14:paraId="154AF5BF" w14:textId="77777777" w:rsidR="001A4527" w:rsidRPr="00560845" w:rsidRDefault="001A4527" w:rsidP="00560845">
      <w:pPr>
        <w:pStyle w:val="PreformattatoHTML"/>
        <w:numPr>
          <w:ilvl w:val="0"/>
          <w:numId w:val="1"/>
        </w:numPr>
        <w:shd w:val="clear" w:color="auto" w:fill="FFFFFF"/>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4" w:lineRule="auto"/>
        <w:ind w:left="284" w:hanging="284"/>
        <w:jc w:val="both"/>
        <w:rPr>
          <w:rFonts w:ascii="Times New Roman" w:hAnsi="Times New Roman" w:cs="Times New Roman"/>
          <w:color w:val="000000"/>
          <w:sz w:val="22"/>
          <w:szCs w:val="22"/>
        </w:rPr>
      </w:pPr>
      <w:r w:rsidRPr="00560845">
        <w:rPr>
          <w:rFonts w:ascii="Times New Roman" w:hAnsi="Times New Roman" w:cs="Times New Roman"/>
          <w:color w:val="000000"/>
          <w:sz w:val="22"/>
          <w:szCs w:val="22"/>
        </w:rPr>
        <w:t>p</w:t>
      </w:r>
      <w:r w:rsidR="005D4037" w:rsidRPr="00560845">
        <w:rPr>
          <w:rFonts w:ascii="Times New Roman" w:hAnsi="Times New Roman" w:cs="Times New Roman"/>
          <w:color w:val="000000"/>
          <w:sz w:val="22"/>
          <w:szCs w:val="22"/>
        </w:rPr>
        <w:t>er</w:t>
      </w:r>
      <w:r w:rsidRPr="00560845">
        <w:rPr>
          <w:rFonts w:ascii="Times New Roman" w:hAnsi="Times New Roman" w:cs="Times New Roman"/>
          <w:color w:val="000000"/>
          <w:sz w:val="22"/>
          <w:szCs w:val="22"/>
        </w:rPr>
        <w:t xml:space="preserve"> </w:t>
      </w:r>
      <w:r w:rsidR="005D4037" w:rsidRPr="00560845">
        <w:rPr>
          <w:rFonts w:ascii="Times New Roman" w:hAnsi="Times New Roman" w:cs="Times New Roman"/>
          <w:color w:val="000000"/>
          <w:sz w:val="22"/>
          <w:szCs w:val="22"/>
        </w:rPr>
        <w:t>gli immobili, anche da costruire o in corso di costruzione, concessi in</w:t>
      </w:r>
      <w:r w:rsidRPr="00560845">
        <w:rPr>
          <w:rFonts w:ascii="Times New Roman" w:hAnsi="Times New Roman" w:cs="Times New Roman"/>
          <w:color w:val="000000"/>
          <w:sz w:val="22"/>
          <w:szCs w:val="22"/>
        </w:rPr>
        <w:t xml:space="preserve"> </w:t>
      </w:r>
      <w:r w:rsidR="005D4037" w:rsidRPr="00560845">
        <w:rPr>
          <w:rFonts w:ascii="Times New Roman" w:hAnsi="Times New Roman" w:cs="Times New Roman"/>
          <w:color w:val="000000"/>
          <w:sz w:val="22"/>
          <w:szCs w:val="22"/>
        </w:rPr>
        <w:t xml:space="preserve">locazione finanziaria, il soggetto passivo è il </w:t>
      </w:r>
      <w:r w:rsidR="005D4037" w:rsidRPr="00560845">
        <w:rPr>
          <w:rFonts w:ascii="Times New Roman" w:hAnsi="Times New Roman" w:cs="Times New Roman"/>
          <w:color w:val="000000"/>
          <w:sz w:val="22"/>
          <w:szCs w:val="22"/>
          <w:u w:val="single"/>
        </w:rPr>
        <w:t>locatario</w:t>
      </w:r>
      <w:r w:rsidR="005D4037" w:rsidRPr="00560845">
        <w:rPr>
          <w:rFonts w:ascii="Times New Roman" w:hAnsi="Times New Roman" w:cs="Times New Roman"/>
          <w:color w:val="000000"/>
          <w:sz w:val="22"/>
          <w:szCs w:val="22"/>
        </w:rPr>
        <w:t xml:space="preserve"> a decorrere dalla</w:t>
      </w:r>
      <w:r w:rsidRPr="00560845">
        <w:rPr>
          <w:rFonts w:ascii="Times New Roman" w:hAnsi="Times New Roman" w:cs="Times New Roman"/>
          <w:color w:val="000000"/>
          <w:sz w:val="22"/>
          <w:szCs w:val="22"/>
        </w:rPr>
        <w:t xml:space="preserve"> </w:t>
      </w:r>
      <w:r w:rsidR="005D4037" w:rsidRPr="00560845">
        <w:rPr>
          <w:rFonts w:ascii="Times New Roman" w:hAnsi="Times New Roman" w:cs="Times New Roman"/>
          <w:color w:val="000000"/>
          <w:sz w:val="22"/>
          <w:szCs w:val="22"/>
        </w:rPr>
        <w:t>data della stipula e per tutta la durata del contratto</w:t>
      </w:r>
      <w:r w:rsidRPr="00560845">
        <w:rPr>
          <w:rFonts w:ascii="Times New Roman" w:hAnsi="Times New Roman" w:cs="Times New Roman"/>
          <w:color w:val="000000"/>
          <w:sz w:val="22"/>
          <w:szCs w:val="22"/>
        </w:rPr>
        <w:t>,</w:t>
      </w:r>
    </w:p>
    <w:p w14:paraId="77C26E29" w14:textId="77777777" w:rsidR="005D4037" w:rsidRPr="00560845" w:rsidRDefault="001A4527" w:rsidP="00560845">
      <w:pPr>
        <w:pStyle w:val="PreformattatoHTML"/>
        <w:numPr>
          <w:ilvl w:val="0"/>
          <w:numId w:val="1"/>
        </w:numPr>
        <w:shd w:val="clear" w:color="auto" w:fill="FFFFFF"/>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264" w:lineRule="auto"/>
        <w:ind w:left="284" w:hanging="284"/>
        <w:jc w:val="both"/>
        <w:rPr>
          <w:rFonts w:ascii="Times New Roman" w:hAnsi="Times New Roman" w:cs="Times New Roman"/>
          <w:color w:val="000000"/>
          <w:sz w:val="22"/>
          <w:szCs w:val="22"/>
        </w:rPr>
      </w:pPr>
      <w:r w:rsidRPr="00560845">
        <w:rPr>
          <w:rFonts w:ascii="Times New Roman" w:hAnsi="Times New Roman" w:cs="Times New Roman"/>
          <w:color w:val="000000"/>
          <w:sz w:val="22"/>
          <w:szCs w:val="22"/>
        </w:rPr>
        <w:t>i</w:t>
      </w:r>
      <w:r w:rsidR="005D4037" w:rsidRPr="00560845">
        <w:rPr>
          <w:rFonts w:ascii="Times New Roman" w:hAnsi="Times New Roman" w:cs="Times New Roman"/>
          <w:color w:val="000000"/>
          <w:sz w:val="22"/>
          <w:szCs w:val="22"/>
        </w:rPr>
        <w:t xml:space="preserve">n presenza di </w:t>
      </w:r>
      <w:r w:rsidR="005D4037" w:rsidRPr="00560845">
        <w:rPr>
          <w:rFonts w:ascii="Times New Roman" w:hAnsi="Times New Roman" w:cs="Times New Roman"/>
          <w:color w:val="000000"/>
          <w:sz w:val="22"/>
          <w:szCs w:val="22"/>
          <w:u w:val="single"/>
        </w:rPr>
        <w:t>più</w:t>
      </w:r>
      <w:r w:rsidRPr="00560845">
        <w:rPr>
          <w:rFonts w:ascii="Times New Roman" w:hAnsi="Times New Roman" w:cs="Times New Roman"/>
          <w:color w:val="000000"/>
          <w:sz w:val="22"/>
          <w:szCs w:val="22"/>
          <w:u w:val="single"/>
        </w:rPr>
        <w:t xml:space="preserve"> </w:t>
      </w:r>
      <w:r w:rsidR="005D4037" w:rsidRPr="00560845">
        <w:rPr>
          <w:rFonts w:ascii="Times New Roman" w:hAnsi="Times New Roman" w:cs="Times New Roman"/>
          <w:color w:val="000000"/>
          <w:sz w:val="22"/>
          <w:szCs w:val="22"/>
          <w:u w:val="single"/>
        </w:rPr>
        <w:t>soggetti passivi</w:t>
      </w:r>
      <w:r w:rsidR="005D4037" w:rsidRPr="00560845">
        <w:rPr>
          <w:rFonts w:ascii="Times New Roman" w:hAnsi="Times New Roman" w:cs="Times New Roman"/>
          <w:color w:val="000000"/>
          <w:sz w:val="22"/>
          <w:szCs w:val="22"/>
        </w:rPr>
        <w:t xml:space="preserve"> con riferimento ad un medesimo</w:t>
      </w:r>
      <w:r w:rsidRPr="00560845">
        <w:rPr>
          <w:rFonts w:ascii="Times New Roman" w:hAnsi="Times New Roman" w:cs="Times New Roman"/>
          <w:color w:val="000000"/>
          <w:sz w:val="22"/>
          <w:szCs w:val="22"/>
        </w:rPr>
        <w:t xml:space="preserve"> </w:t>
      </w:r>
      <w:r w:rsidR="005D4037" w:rsidRPr="00560845">
        <w:rPr>
          <w:rFonts w:ascii="Times New Roman" w:hAnsi="Times New Roman" w:cs="Times New Roman"/>
          <w:color w:val="000000"/>
          <w:sz w:val="22"/>
          <w:szCs w:val="22"/>
        </w:rPr>
        <w:t>immobile, ognuno è titolare</w:t>
      </w:r>
      <w:r w:rsidRPr="00560845">
        <w:rPr>
          <w:rFonts w:ascii="Times New Roman" w:hAnsi="Times New Roman" w:cs="Times New Roman"/>
          <w:color w:val="000000"/>
          <w:sz w:val="22"/>
          <w:szCs w:val="22"/>
        </w:rPr>
        <w:t xml:space="preserve"> </w:t>
      </w:r>
      <w:r w:rsidR="005D4037" w:rsidRPr="00560845">
        <w:rPr>
          <w:rFonts w:ascii="Times New Roman" w:hAnsi="Times New Roman" w:cs="Times New Roman"/>
          <w:color w:val="000000"/>
          <w:sz w:val="22"/>
          <w:szCs w:val="22"/>
        </w:rPr>
        <w:t>di un'autonoma obbligazione tributaria e nell'applicazione dell'imposta si</w:t>
      </w:r>
      <w:r w:rsidRPr="00560845">
        <w:rPr>
          <w:rFonts w:ascii="Times New Roman" w:hAnsi="Times New Roman" w:cs="Times New Roman"/>
          <w:color w:val="000000"/>
          <w:sz w:val="22"/>
          <w:szCs w:val="22"/>
        </w:rPr>
        <w:t xml:space="preserve"> </w:t>
      </w:r>
      <w:r w:rsidR="005D4037" w:rsidRPr="00560845">
        <w:rPr>
          <w:rFonts w:ascii="Times New Roman" w:hAnsi="Times New Roman" w:cs="Times New Roman"/>
          <w:color w:val="000000"/>
          <w:sz w:val="22"/>
          <w:szCs w:val="22"/>
        </w:rPr>
        <w:t>tiene conto degli elementi soggettivi ed oggettivi riferiti ad ogni singola</w:t>
      </w:r>
      <w:r w:rsidRPr="00560845">
        <w:rPr>
          <w:rFonts w:ascii="Times New Roman" w:hAnsi="Times New Roman" w:cs="Times New Roman"/>
          <w:color w:val="000000"/>
          <w:sz w:val="22"/>
          <w:szCs w:val="22"/>
        </w:rPr>
        <w:t xml:space="preserve"> </w:t>
      </w:r>
      <w:r w:rsidR="005D4037" w:rsidRPr="00560845">
        <w:rPr>
          <w:rFonts w:ascii="Times New Roman" w:hAnsi="Times New Roman" w:cs="Times New Roman"/>
          <w:color w:val="000000"/>
          <w:sz w:val="22"/>
          <w:szCs w:val="22"/>
        </w:rPr>
        <w:t>quota di possesso, anche nei casi di applicazione delle esenzioni o</w:t>
      </w:r>
      <w:r w:rsidRPr="00560845">
        <w:rPr>
          <w:rFonts w:ascii="Times New Roman" w:hAnsi="Times New Roman" w:cs="Times New Roman"/>
          <w:color w:val="000000"/>
          <w:sz w:val="22"/>
          <w:szCs w:val="22"/>
        </w:rPr>
        <w:t xml:space="preserve"> </w:t>
      </w:r>
      <w:r w:rsidR="005D4037" w:rsidRPr="00560845">
        <w:rPr>
          <w:rFonts w:ascii="Times New Roman" w:hAnsi="Times New Roman" w:cs="Times New Roman"/>
          <w:color w:val="000000"/>
          <w:sz w:val="22"/>
          <w:szCs w:val="22"/>
        </w:rPr>
        <w:t>agevolazioni.</w:t>
      </w:r>
    </w:p>
    <w:p w14:paraId="7909098F" w14:textId="77777777" w:rsidR="00315D6E" w:rsidRPr="00560845" w:rsidRDefault="00315D6E" w:rsidP="00560845">
      <w:pPr>
        <w:autoSpaceDE w:val="0"/>
        <w:autoSpaceDN w:val="0"/>
        <w:adjustRightInd w:val="0"/>
        <w:spacing w:after="120" w:line="264" w:lineRule="auto"/>
        <w:jc w:val="both"/>
        <w:rPr>
          <w:color w:val="000000"/>
          <w:sz w:val="22"/>
          <w:szCs w:val="22"/>
        </w:rPr>
      </w:pPr>
      <w:r w:rsidRPr="00560845">
        <w:rPr>
          <w:color w:val="000000"/>
          <w:sz w:val="22"/>
          <w:szCs w:val="22"/>
        </w:rPr>
        <w:t xml:space="preserve">Il Comune è il </w:t>
      </w:r>
      <w:r w:rsidRPr="00560845">
        <w:rPr>
          <w:b/>
          <w:color w:val="000000"/>
          <w:sz w:val="22"/>
          <w:szCs w:val="22"/>
          <w:u w:val="single"/>
        </w:rPr>
        <w:t>soggetto attivo</w:t>
      </w:r>
      <w:r w:rsidRPr="00560845">
        <w:rPr>
          <w:color w:val="000000"/>
          <w:sz w:val="22"/>
          <w:szCs w:val="22"/>
        </w:rPr>
        <w:t xml:space="preserve"> con riferimento alle unità immobiliari con superficie che insiste prevalentemente sul proprio territorio.</w:t>
      </w:r>
    </w:p>
    <w:p w14:paraId="6AC0BE17" w14:textId="77777777" w:rsidR="001D1F8D" w:rsidRPr="00560845" w:rsidRDefault="008A0BE9" w:rsidP="00560845">
      <w:pPr>
        <w:autoSpaceDE w:val="0"/>
        <w:autoSpaceDN w:val="0"/>
        <w:adjustRightInd w:val="0"/>
        <w:spacing w:after="240" w:line="259" w:lineRule="auto"/>
        <w:jc w:val="center"/>
        <w:rPr>
          <w:color w:val="000000"/>
        </w:rPr>
      </w:pPr>
      <w:r w:rsidRPr="00560845">
        <w:rPr>
          <w:color w:val="000000"/>
        </w:rPr>
        <w:t>*</w:t>
      </w:r>
      <w:r w:rsidR="00560845">
        <w:rPr>
          <w:color w:val="000000"/>
        </w:rPr>
        <w:t xml:space="preserve">       </w:t>
      </w:r>
      <w:r w:rsidRPr="00560845">
        <w:rPr>
          <w:color w:val="000000"/>
        </w:rPr>
        <w:t>*</w:t>
      </w:r>
      <w:r w:rsidR="00560845">
        <w:rPr>
          <w:color w:val="000000"/>
        </w:rPr>
        <w:t xml:space="preserve">       </w:t>
      </w:r>
      <w:r w:rsidRPr="00560845">
        <w:rPr>
          <w:color w:val="000000"/>
        </w:rPr>
        <w:t>*</w:t>
      </w:r>
    </w:p>
    <w:p w14:paraId="7F495E08" w14:textId="77777777" w:rsidR="008D5E94" w:rsidRPr="00560845" w:rsidRDefault="008D5E94" w:rsidP="00560845">
      <w:pPr>
        <w:autoSpaceDE w:val="0"/>
        <w:autoSpaceDN w:val="0"/>
        <w:adjustRightInd w:val="0"/>
        <w:spacing w:after="120" w:line="259" w:lineRule="auto"/>
        <w:jc w:val="both"/>
        <w:rPr>
          <w:b/>
          <w:bCs/>
          <w:color w:val="000000"/>
          <w:sz w:val="26"/>
          <w:szCs w:val="26"/>
          <w:u w:val="single"/>
        </w:rPr>
      </w:pPr>
      <w:r w:rsidRPr="00560845">
        <w:rPr>
          <w:b/>
          <w:bCs/>
          <w:color w:val="000000"/>
          <w:sz w:val="26"/>
          <w:szCs w:val="26"/>
          <w:u w:val="single"/>
        </w:rPr>
        <w:t xml:space="preserve">Modalità di calcolo della </w:t>
      </w:r>
      <w:r w:rsidR="00BD425A" w:rsidRPr="00560845">
        <w:rPr>
          <w:b/>
          <w:bCs/>
          <w:color w:val="000000"/>
          <w:sz w:val="26"/>
          <w:szCs w:val="26"/>
          <w:u w:val="single"/>
        </w:rPr>
        <w:t>BASE IMPONIBILE</w:t>
      </w:r>
    </w:p>
    <w:p w14:paraId="3CA94567" w14:textId="77777777" w:rsidR="008D5E94" w:rsidRPr="009C67EC" w:rsidRDefault="000452FB" w:rsidP="00560845">
      <w:pPr>
        <w:autoSpaceDE w:val="0"/>
        <w:autoSpaceDN w:val="0"/>
        <w:adjustRightInd w:val="0"/>
        <w:spacing w:line="259" w:lineRule="auto"/>
        <w:jc w:val="both"/>
        <w:rPr>
          <w:color w:val="000000"/>
          <w:sz w:val="22"/>
          <w:szCs w:val="22"/>
        </w:rPr>
      </w:pPr>
      <w:r w:rsidRPr="009C67EC">
        <w:rPr>
          <w:color w:val="000000"/>
          <w:sz w:val="22"/>
          <w:szCs w:val="22"/>
        </w:rPr>
        <w:t>P</w:t>
      </w:r>
      <w:r w:rsidR="008D5E94" w:rsidRPr="009C67EC">
        <w:rPr>
          <w:color w:val="000000"/>
          <w:sz w:val="22"/>
          <w:szCs w:val="22"/>
        </w:rPr>
        <w:t xml:space="preserve">er i </w:t>
      </w:r>
      <w:r w:rsidR="008D5E94" w:rsidRPr="009C67EC">
        <w:rPr>
          <w:b/>
          <w:bCs/>
          <w:color w:val="000000"/>
          <w:sz w:val="22"/>
          <w:szCs w:val="22"/>
          <w:u w:val="single"/>
        </w:rPr>
        <w:t>fabbricati accatastati</w:t>
      </w:r>
      <w:r w:rsidR="008D5E94" w:rsidRPr="009C67EC">
        <w:rPr>
          <w:color w:val="000000"/>
          <w:sz w:val="22"/>
          <w:szCs w:val="22"/>
        </w:rPr>
        <w:t>,</w:t>
      </w:r>
      <w:r w:rsidRPr="009C67EC">
        <w:rPr>
          <w:color w:val="000000"/>
          <w:sz w:val="22"/>
          <w:szCs w:val="22"/>
        </w:rPr>
        <w:t xml:space="preserve"> la base imponibile è così determinata:</w:t>
      </w:r>
    </w:p>
    <w:p w14:paraId="44D85ADB" w14:textId="77777777" w:rsidR="00E3438B" w:rsidRPr="00560845" w:rsidRDefault="000452FB" w:rsidP="007E1D7D">
      <w:pPr>
        <w:pBdr>
          <w:top w:val="single" w:sz="4" w:space="1" w:color="auto"/>
          <w:left w:val="single" w:sz="4" w:space="4" w:color="auto"/>
          <w:bottom w:val="single" w:sz="4" w:space="1" w:color="auto"/>
          <w:right w:val="single" w:sz="4" w:space="4" w:color="auto"/>
        </w:pBdr>
        <w:autoSpaceDE w:val="0"/>
        <w:autoSpaceDN w:val="0"/>
        <w:adjustRightInd w:val="0"/>
        <w:spacing w:before="240" w:line="259" w:lineRule="auto"/>
        <w:ind w:firstLine="180"/>
        <w:jc w:val="both"/>
        <w:rPr>
          <w:color w:val="000000"/>
        </w:rPr>
      </w:pPr>
      <w:r w:rsidRPr="00560845">
        <w:rPr>
          <w:b/>
          <w:color w:val="000000"/>
          <w:sz w:val="26"/>
          <w:szCs w:val="26"/>
        </w:rPr>
        <w:t>BASE IMPONIBILE</w:t>
      </w:r>
      <w:r w:rsidRPr="00560845">
        <w:rPr>
          <w:color w:val="000000"/>
        </w:rPr>
        <w:t xml:space="preserve"> = Rendita catastale x 1,05 </w:t>
      </w:r>
      <w:r w:rsidR="00BD425A" w:rsidRPr="00560845">
        <w:rPr>
          <w:color w:val="000000"/>
        </w:rPr>
        <w:t>x</w:t>
      </w:r>
      <w:r w:rsidRPr="00560845">
        <w:rPr>
          <w:color w:val="000000"/>
        </w:rPr>
        <w:t xml:space="preserve"> coefficiente moltiplicatore </w:t>
      </w:r>
    </w:p>
    <w:tbl>
      <w:tblPr>
        <w:tblW w:w="6660" w:type="dxa"/>
        <w:tblInd w:w="1496" w:type="dxa"/>
        <w:tblCellMar>
          <w:left w:w="70" w:type="dxa"/>
          <w:right w:w="70" w:type="dxa"/>
        </w:tblCellMar>
        <w:tblLook w:val="0000" w:firstRow="0" w:lastRow="0" w:firstColumn="0" w:lastColumn="0" w:noHBand="0" w:noVBand="0"/>
      </w:tblPr>
      <w:tblGrid>
        <w:gridCol w:w="3220"/>
        <w:gridCol w:w="1703"/>
        <w:gridCol w:w="1737"/>
      </w:tblGrid>
      <w:tr w:rsidR="001D1F8D" w:rsidRPr="00560845" w14:paraId="4BB31083" w14:textId="77777777" w:rsidTr="001D1F8D">
        <w:trPr>
          <w:trHeight w:val="465"/>
        </w:trPr>
        <w:tc>
          <w:tcPr>
            <w:tcW w:w="3220" w:type="dxa"/>
            <w:vMerge w:val="restart"/>
            <w:tcBorders>
              <w:top w:val="nil"/>
              <w:left w:val="nil"/>
              <w:bottom w:val="nil"/>
              <w:right w:val="nil"/>
            </w:tcBorders>
            <w:shd w:val="clear" w:color="auto" w:fill="C0C0C0"/>
            <w:noWrap/>
            <w:vAlign w:val="center"/>
          </w:tcPr>
          <w:p w14:paraId="3B22669D" w14:textId="77777777" w:rsidR="001D1F8D" w:rsidRPr="00560845" w:rsidRDefault="001D1F8D" w:rsidP="007E1D7D">
            <w:pPr>
              <w:spacing w:line="259" w:lineRule="auto"/>
              <w:jc w:val="center"/>
              <w:rPr>
                <w:sz w:val="20"/>
                <w:szCs w:val="20"/>
              </w:rPr>
            </w:pPr>
            <w:r w:rsidRPr="00560845">
              <w:rPr>
                <w:sz w:val="20"/>
                <w:szCs w:val="20"/>
              </w:rPr>
              <w:t>Categoria Catastale</w:t>
            </w:r>
          </w:p>
        </w:tc>
        <w:tc>
          <w:tcPr>
            <w:tcW w:w="3440"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14:paraId="31C773D2" w14:textId="77777777" w:rsidR="001D1F8D" w:rsidRPr="00560845" w:rsidRDefault="001D1F8D" w:rsidP="007E1D7D">
            <w:pPr>
              <w:spacing w:line="259" w:lineRule="auto"/>
              <w:jc w:val="center"/>
              <w:rPr>
                <w:sz w:val="20"/>
                <w:szCs w:val="20"/>
              </w:rPr>
            </w:pPr>
            <w:r w:rsidRPr="00560845">
              <w:rPr>
                <w:sz w:val="20"/>
                <w:szCs w:val="20"/>
              </w:rPr>
              <w:t>da applicare alla rendita</w:t>
            </w:r>
          </w:p>
        </w:tc>
      </w:tr>
      <w:tr w:rsidR="001D1F8D" w:rsidRPr="00560845" w14:paraId="4F075A34" w14:textId="77777777" w:rsidTr="001D1F8D">
        <w:trPr>
          <w:trHeight w:val="600"/>
        </w:trPr>
        <w:tc>
          <w:tcPr>
            <w:tcW w:w="3220" w:type="dxa"/>
            <w:vMerge/>
            <w:tcBorders>
              <w:top w:val="nil"/>
              <w:left w:val="nil"/>
              <w:bottom w:val="nil"/>
              <w:right w:val="nil"/>
            </w:tcBorders>
            <w:vAlign w:val="center"/>
          </w:tcPr>
          <w:p w14:paraId="2F8D4789" w14:textId="77777777" w:rsidR="001D1F8D" w:rsidRPr="00560845" w:rsidRDefault="001D1F8D" w:rsidP="007E1D7D">
            <w:pPr>
              <w:spacing w:line="259" w:lineRule="auto"/>
              <w:rPr>
                <w:sz w:val="20"/>
                <w:szCs w:val="20"/>
              </w:rPr>
            </w:pPr>
          </w:p>
        </w:tc>
        <w:tc>
          <w:tcPr>
            <w:tcW w:w="1703" w:type="dxa"/>
            <w:tcBorders>
              <w:top w:val="nil"/>
              <w:left w:val="single" w:sz="4" w:space="0" w:color="auto"/>
              <w:bottom w:val="nil"/>
              <w:right w:val="single" w:sz="4" w:space="0" w:color="auto"/>
            </w:tcBorders>
            <w:shd w:val="clear" w:color="auto" w:fill="C0C0C0"/>
            <w:noWrap/>
            <w:vAlign w:val="center"/>
          </w:tcPr>
          <w:p w14:paraId="59FE135B" w14:textId="77777777" w:rsidR="001D1F8D" w:rsidRPr="00560845" w:rsidRDefault="001D1F8D" w:rsidP="007E1D7D">
            <w:pPr>
              <w:spacing w:line="259" w:lineRule="auto"/>
              <w:jc w:val="center"/>
              <w:rPr>
                <w:sz w:val="20"/>
                <w:szCs w:val="20"/>
              </w:rPr>
            </w:pPr>
            <w:r w:rsidRPr="00560845">
              <w:rPr>
                <w:sz w:val="20"/>
                <w:szCs w:val="20"/>
              </w:rPr>
              <w:t>Rivalutazione</w:t>
            </w:r>
          </w:p>
        </w:tc>
        <w:tc>
          <w:tcPr>
            <w:tcW w:w="1737" w:type="dxa"/>
            <w:tcBorders>
              <w:top w:val="nil"/>
              <w:left w:val="nil"/>
              <w:bottom w:val="nil"/>
              <w:right w:val="single" w:sz="4" w:space="0" w:color="auto"/>
            </w:tcBorders>
            <w:shd w:val="clear" w:color="auto" w:fill="C0C0C0"/>
            <w:noWrap/>
            <w:vAlign w:val="center"/>
          </w:tcPr>
          <w:p w14:paraId="033979EE" w14:textId="77777777" w:rsidR="001D1F8D" w:rsidRPr="00560845" w:rsidRDefault="001D1F8D" w:rsidP="007E1D7D">
            <w:pPr>
              <w:spacing w:line="259" w:lineRule="auto"/>
              <w:jc w:val="center"/>
              <w:rPr>
                <w:sz w:val="20"/>
                <w:szCs w:val="20"/>
              </w:rPr>
            </w:pPr>
            <w:r w:rsidRPr="00560845">
              <w:rPr>
                <w:sz w:val="20"/>
                <w:szCs w:val="20"/>
              </w:rPr>
              <w:t>moltiplicatore</w:t>
            </w:r>
          </w:p>
        </w:tc>
      </w:tr>
      <w:tr w:rsidR="001D1F8D" w:rsidRPr="00560845" w14:paraId="2F102BDD" w14:textId="77777777" w:rsidTr="001D1F8D">
        <w:trPr>
          <w:trHeight w:val="405"/>
        </w:trPr>
        <w:tc>
          <w:tcPr>
            <w:tcW w:w="3220" w:type="dxa"/>
            <w:tcBorders>
              <w:top w:val="single" w:sz="8" w:space="0" w:color="auto"/>
              <w:left w:val="single" w:sz="8" w:space="0" w:color="auto"/>
              <w:bottom w:val="single" w:sz="4" w:space="0" w:color="auto"/>
              <w:right w:val="single" w:sz="4" w:space="0" w:color="auto"/>
            </w:tcBorders>
            <w:noWrap/>
            <w:vAlign w:val="bottom"/>
          </w:tcPr>
          <w:p w14:paraId="681C6651" w14:textId="77777777" w:rsidR="001D1F8D" w:rsidRPr="00560845" w:rsidRDefault="001D1F8D" w:rsidP="007E1D7D">
            <w:pPr>
              <w:spacing w:line="259" w:lineRule="auto"/>
              <w:rPr>
                <w:sz w:val="20"/>
                <w:szCs w:val="20"/>
              </w:rPr>
            </w:pPr>
            <w:r w:rsidRPr="00560845">
              <w:rPr>
                <w:sz w:val="20"/>
                <w:szCs w:val="20"/>
              </w:rPr>
              <w:t>da A/1 a A/11</w:t>
            </w:r>
            <w:r w:rsidR="00560845">
              <w:rPr>
                <w:sz w:val="20"/>
                <w:szCs w:val="20"/>
              </w:rPr>
              <w:t xml:space="preserve"> </w:t>
            </w:r>
            <w:r w:rsidRPr="00560845">
              <w:rPr>
                <w:sz w:val="20"/>
                <w:szCs w:val="20"/>
              </w:rPr>
              <w:t>(escluso A/10)</w:t>
            </w:r>
          </w:p>
        </w:tc>
        <w:tc>
          <w:tcPr>
            <w:tcW w:w="1703" w:type="dxa"/>
            <w:tcBorders>
              <w:top w:val="single" w:sz="8" w:space="0" w:color="auto"/>
              <w:left w:val="nil"/>
              <w:bottom w:val="single" w:sz="4" w:space="0" w:color="auto"/>
              <w:right w:val="single" w:sz="4" w:space="0" w:color="auto"/>
            </w:tcBorders>
            <w:noWrap/>
            <w:vAlign w:val="bottom"/>
          </w:tcPr>
          <w:p w14:paraId="248E11B6" w14:textId="77777777" w:rsidR="001D1F8D" w:rsidRPr="00560845" w:rsidRDefault="001D1F8D" w:rsidP="007E1D7D">
            <w:pPr>
              <w:spacing w:line="259" w:lineRule="auto"/>
              <w:jc w:val="center"/>
              <w:rPr>
                <w:sz w:val="20"/>
                <w:szCs w:val="20"/>
              </w:rPr>
            </w:pPr>
            <w:r w:rsidRPr="00560845">
              <w:rPr>
                <w:sz w:val="20"/>
                <w:szCs w:val="20"/>
              </w:rPr>
              <w:t>5%</w:t>
            </w:r>
          </w:p>
        </w:tc>
        <w:tc>
          <w:tcPr>
            <w:tcW w:w="1737" w:type="dxa"/>
            <w:tcBorders>
              <w:top w:val="single" w:sz="8" w:space="0" w:color="auto"/>
              <w:left w:val="nil"/>
              <w:bottom w:val="single" w:sz="4" w:space="0" w:color="auto"/>
              <w:right w:val="single" w:sz="8" w:space="0" w:color="auto"/>
            </w:tcBorders>
            <w:noWrap/>
            <w:vAlign w:val="bottom"/>
          </w:tcPr>
          <w:p w14:paraId="794A3640" w14:textId="77777777" w:rsidR="001D1F8D" w:rsidRPr="00560845" w:rsidRDefault="001D1F8D" w:rsidP="007E1D7D">
            <w:pPr>
              <w:spacing w:line="259" w:lineRule="auto"/>
              <w:jc w:val="center"/>
              <w:rPr>
                <w:sz w:val="20"/>
                <w:szCs w:val="20"/>
              </w:rPr>
            </w:pPr>
            <w:r w:rsidRPr="00560845">
              <w:rPr>
                <w:sz w:val="20"/>
                <w:szCs w:val="20"/>
              </w:rPr>
              <w:t>160</w:t>
            </w:r>
          </w:p>
        </w:tc>
      </w:tr>
      <w:tr w:rsidR="001D1F8D" w:rsidRPr="00560845" w14:paraId="0D723F60" w14:textId="77777777" w:rsidTr="001D1F8D">
        <w:trPr>
          <w:trHeight w:val="255"/>
        </w:trPr>
        <w:tc>
          <w:tcPr>
            <w:tcW w:w="3220" w:type="dxa"/>
            <w:tcBorders>
              <w:top w:val="nil"/>
              <w:left w:val="single" w:sz="8" w:space="0" w:color="auto"/>
              <w:bottom w:val="single" w:sz="4" w:space="0" w:color="auto"/>
              <w:right w:val="single" w:sz="4" w:space="0" w:color="auto"/>
            </w:tcBorders>
            <w:noWrap/>
            <w:vAlign w:val="bottom"/>
          </w:tcPr>
          <w:p w14:paraId="1A6F8572" w14:textId="77777777" w:rsidR="001D1F8D" w:rsidRPr="00560845" w:rsidRDefault="001D1F8D" w:rsidP="007E1D7D">
            <w:pPr>
              <w:spacing w:line="259" w:lineRule="auto"/>
              <w:rPr>
                <w:sz w:val="20"/>
                <w:szCs w:val="20"/>
              </w:rPr>
            </w:pPr>
            <w:r w:rsidRPr="00560845">
              <w:rPr>
                <w:sz w:val="20"/>
                <w:szCs w:val="20"/>
              </w:rPr>
              <w:t>A710</w:t>
            </w:r>
          </w:p>
        </w:tc>
        <w:tc>
          <w:tcPr>
            <w:tcW w:w="1703" w:type="dxa"/>
            <w:tcBorders>
              <w:top w:val="nil"/>
              <w:left w:val="nil"/>
              <w:bottom w:val="single" w:sz="4" w:space="0" w:color="auto"/>
              <w:right w:val="single" w:sz="4" w:space="0" w:color="auto"/>
            </w:tcBorders>
            <w:noWrap/>
            <w:vAlign w:val="bottom"/>
          </w:tcPr>
          <w:p w14:paraId="435F16D1" w14:textId="77777777" w:rsidR="001D1F8D" w:rsidRPr="00560845" w:rsidRDefault="001D1F8D" w:rsidP="007E1D7D">
            <w:pPr>
              <w:spacing w:line="259" w:lineRule="auto"/>
              <w:jc w:val="center"/>
              <w:rPr>
                <w:sz w:val="20"/>
                <w:szCs w:val="20"/>
              </w:rPr>
            </w:pPr>
            <w:r w:rsidRPr="00560845">
              <w:rPr>
                <w:sz w:val="20"/>
                <w:szCs w:val="20"/>
              </w:rPr>
              <w:t>5%</w:t>
            </w:r>
          </w:p>
        </w:tc>
        <w:tc>
          <w:tcPr>
            <w:tcW w:w="1737" w:type="dxa"/>
            <w:tcBorders>
              <w:top w:val="nil"/>
              <w:left w:val="nil"/>
              <w:bottom w:val="single" w:sz="4" w:space="0" w:color="auto"/>
              <w:right w:val="single" w:sz="8" w:space="0" w:color="auto"/>
            </w:tcBorders>
            <w:noWrap/>
            <w:vAlign w:val="bottom"/>
          </w:tcPr>
          <w:p w14:paraId="31FB36CE" w14:textId="77777777" w:rsidR="001D1F8D" w:rsidRPr="00560845" w:rsidRDefault="001D1F8D" w:rsidP="007E1D7D">
            <w:pPr>
              <w:spacing w:line="259" w:lineRule="auto"/>
              <w:jc w:val="center"/>
              <w:rPr>
                <w:sz w:val="20"/>
                <w:szCs w:val="20"/>
              </w:rPr>
            </w:pPr>
            <w:r w:rsidRPr="00560845">
              <w:rPr>
                <w:sz w:val="20"/>
                <w:szCs w:val="20"/>
              </w:rPr>
              <w:t>80</w:t>
            </w:r>
          </w:p>
        </w:tc>
      </w:tr>
      <w:tr w:rsidR="001D1F8D" w:rsidRPr="00560845" w14:paraId="724CC8EB" w14:textId="77777777" w:rsidTr="001D1F8D">
        <w:trPr>
          <w:trHeight w:val="255"/>
        </w:trPr>
        <w:tc>
          <w:tcPr>
            <w:tcW w:w="3220" w:type="dxa"/>
            <w:tcBorders>
              <w:top w:val="nil"/>
              <w:left w:val="single" w:sz="8" w:space="0" w:color="auto"/>
              <w:bottom w:val="single" w:sz="4" w:space="0" w:color="auto"/>
              <w:right w:val="single" w:sz="4" w:space="0" w:color="auto"/>
            </w:tcBorders>
            <w:noWrap/>
            <w:vAlign w:val="bottom"/>
          </w:tcPr>
          <w:p w14:paraId="72F604BD" w14:textId="77777777" w:rsidR="001D1F8D" w:rsidRPr="00560845" w:rsidRDefault="001D1F8D" w:rsidP="007E1D7D">
            <w:pPr>
              <w:spacing w:line="259" w:lineRule="auto"/>
              <w:rPr>
                <w:sz w:val="20"/>
                <w:szCs w:val="20"/>
              </w:rPr>
            </w:pPr>
            <w:r w:rsidRPr="00560845">
              <w:rPr>
                <w:sz w:val="20"/>
                <w:szCs w:val="20"/>
              </w:rPr>
              <w:t xml:space="preserve">da B/1 a B/8 </w:t>
            </w:r>
          </w:p>
        </w:tc>
        <w:tc>
          <w:tcPr>
            <w:tcW w:w="1703" w:type="dxa"/>
            <w:tcBorders>
              <w:top w:val="nil"/>
              <w:left w:val="nil"/>
              <w:bottom w:val="single" w:sz="4" w:space="0" w:color="auto"/>
              <w:right w:val="single" w:sz="4" w:space="0" w:color="auto"/>
            </w:tcBorders>
            <w:noWrap/>
            <w:vAlign w:val="bottom"/>
          </w:tcPr>
          <w:p w14:paraId="6320AFB5" w14:textId="77777777" w:rsidR="001D1F8D" w:rsidRPr="00560845" w:rsidRDefault="001D1F8D" w:rsidP="007E1D7D">
            <w:pPr>
              <w:spacing w:line="259" w:lineRule="auto"/>
              <w:jc w:val="center"/>
              <w:rPr>
                <w:sz w:val="20"/>
                <w:szCs w:val="20"/>
              </w:rPr>
            </w:pPr>
            <w:r w:rsidRPr="00560845">
              <w:rPr>
                <w:sz w:val="20"/>
                <w:szCs w:val="20"/>
              </w:rPr>
              <w:t>5%</w:t>
            </w:r>
          </w:p>
        </w:tc>
        <w:tc>
          <w:tcPr>
            <w:tcW w:w="1737" w:type="dxa"/>
            <w:tcBorders>
              <w:top w:val="nil"/>
              <w:left w:val="nil"/>
              <w:bottom w:val="single" w:sz="4" w:space="0" w:color="auto"/>
              <w:right w:val="single" w:sz="8" w:space="0" w:color="auto"/>
            </w:tcBorders>
            <w:noWrap/>
            <w:vAlign w:val="bottom"/>
          </w:tcPr>
          <w:p w14:paraId="7801A611" w14:textId="77777777" w:rsidR="001D1F8D" w:rsidRPr="00560845" w:rsidRDefault="001D1F8D" w:rsidP="007E1D7D">
            <w:pPr>
              <w:spacing w:line="259" w:lineRule="auto"/>
              <w:jc w:val="center"/>
              <w:rPr>
                <w:sz w:val="20"/>
                <w:szCs w:val="20"/>
              </w:rPr>
            </w:pPr>
            <w:r w:rsidRPr="00560845">
              <w:rPr>
                <w:sz w:val="20"/>
                <w:szCs w:val="20"/>
              </w:rPr>
              <w:t>140</w:t>
            </w:r>
          </w:p>
        </w:tc>
      </w:tr>
      <w:tr w:rsidR="001D1F8D" w:rsidRPr="00560845" w14:paraId="5E0AA435" w14:textId="77777777" w:rsidTr="001D1F8D">
        <w:trPr>
          <w:trHeight w:val="255"/>
        </w:trPr>
        <w:tc>
          <w:tcPr>
            <w:tcW w:w="3220" w:type="dxa"/>
            <w:tcBorders>
              <w:top w:val="nil"/>
              <w:left w:val="single" w:sz="8" w:space="0" w:color="auto"/>
              <w:bottom w:val="single" w:sz="4" w:space="0" w:color="auto"/>
              <w:right w:val="single" w:sz="4" w:space="0" w:color="auto"/>
            </w:tcBorders>
            <w:noWrap/>
            <w:vAlign w:val="bottom"/>
          </w:tcPr>
          <w:p w14:paraId="06C4CB32" w14:textId="77777777" w:rsidR="001D1F8D" w:rsidRPr="00560845" w:rsidRDefault="001D1F8D" w:rsidP="007E1D7D">
            <w:pPr>
              <w:spacing w:line="259" w:lineRule="auto"/>
              <w:rPr>
                <w:sz w:val="20"/>
                <w:szCs w:val="20"/>
              </w:rPr>
            </w:pPr>
            <w:r w:rsidRPr="00560845">
              <w:rPr>
                <w:sz w:val="20"/>
                <w:szCs w:val="20"/>
              </w:rPr>
              <w:t>C/1</w:t>
            </w:r>
          </w:p>
        </w:tc>
        <w:tc>
          <w:tcPr>
            <w:tcW w:w="1703" w:type="dxa"/>
            <w:tcBorders>
              <w:top w:val="nil"/>
              <w:left w:val="nil"/>
              <w:bottom w:val="single" w:sz="4" w:space="0" w:color="auto"/>
              <w:right w:val="single" w:sz="4" w:space="0" w:color="auto"/>
            </w:tcBorders>
            <w:noWrap/>
            <w:vAlign w:val="bottom"/>
          </w:tcPr>
          <w:p w14:paraId="46B3FF53" w14:textId="77777777" w:rsidR="001D1F8D" w:rsidRPr="00560845" w:rsidRDefault="001D1F8D" w:rsidP="007E1D7D">
            <w:pPr>
              <w:spacing w:line="259" w:lineRule="auto"/>
              <w:jc w:val="center"/>
              <w:rPr>
                <w:sz w:val="20"/>
                <w:szCs w:val="20"/>
              </w:rPr>
            </w:pPr>
            <w:r w:rsidRPr="00560845">
              <w:rPr>
                <w:sz w:val="20"/>
                <w:szCs w:val="20"/>
              </w:rPr>
              <w:t>5%</w:t>
            </w:r>
          </w:p>
        </w:tc>
        <w:tc>
          <w:tcPr>
            <w:tcW w:w="1737" w:type="dxa"/>
            <w:tcBorders>
              <w:top w:val="nil"/>
              <w:left w:val="nil"/>
              <w:bottom w:val="single" w:sz="4" w:space="0" w:color="auto"/>
              <w:right w:val="single" w:sz="8" w:space="0" w:color="auto"/>
            </w:tcBorders>
            <w:noWrap/>
            <w:vAlign w:val="bottom"/>
          </w:tcPr>
          <w:p w14:paraId="0256FBE8" w14:textId="77777777" w:rsidR="001D1F8D" w:rsidRPr="00560845" w:rsidRDefault="001D1F8D" w:rsidP="007E1D7D">
            <w:pPr>
              <w:spacing w:line="259" w:lineRule="auto"/>
              <w:jc w:val="center"/>
              <w:rPr>
                <w:sz w:val="20"/>
                <w:szCs w:val="20"/>
              </w:rPr>
            </w:pPr>
            <w:r w:rsidRPr="00560845">
              <w:rPr>
                <w:sz w:val="20"/>
                <w:szCs w:val="20"/>
              </w:rPr>
              <w:t>55</w:t>
            </w:r>
          </w:p>
        </w:tc>
      </w:tr>
      <w:tr w:rsidR="001D1F8D" w:rsidRPr="00560845" w14:paraId="7672E2F7" w14:textId="77777777" w:rsidTr="001D1F8D">
        <w:trPr>
          <w:trHeight w:val="255"/>
        </w:trPr>
        <w:tc>
          <w:tcPr>
            <w:tcW w:w="3220" w:type="dxa"/>
            <w:tcBorders>
              <w:top w:val="nil"/>
              <w:left w:val="single" w:sz="8" w:space="0" w:color="auto"/>
              <w:bottom w:val="single" w:sz="4" w:space="0" w:color="auto"/>
              <w:right w:val="single" w:sz="4" w:space="0" w:color="auto"/>
            </w:tcBorders>
            <w:noWrap/>
            <w:vAlign w:val="bottom"/>
          </w:tcPr>
          <w:p w14:paraId="594A768C" w14:textId="77777777" w:rsidR="001D1F8D" w:rsidRPr="00560845" w:rsidRDefault="001D1F8D" w:rsidP="007E1D7D">
            <w:pPr>
              <w:spacing w:line="259" w:lineRule="auto"/>
              <w:rPr>
                <w:sz w:val="20"/>
                <w:szCs w:val="20"/>
              </w:rPr>
            </w:pPr>
            <w:r w:rsidRPr="00560845">
              <w:rPr>
                <w:sz w:val="20"/>
                <w:szCs w:val="20"/>
              </w:rPr>
              <w:t>C/2, C/6, C/7</w:t>
            </w:r>
          </w:p>
        </w:tc>
        <w:tc>
          <w:tcPr>
            <w:tcW w:w="1703" w:type="dxa"/>
            <w:tcBorders>
              <w:top w:val="nil"/>
              <w:left w:val="nil"/>
              <w:bottom w:val="single" w:sz="4" w:space="0" w:color="auto"/>
              <w:right w:val="single" w:sz="4" w:space="0" w:color="auto"/>
            </w:tcBorders>
            <w:noWrap/>
            <w:vAlign w:val="bottom"/>
          </w:tcPr>
          <w:p w14:paraId="18B2BBEB" w14:textId="77777777" w:rsidR="001D1F8D" w:rsidRPr="00560845" w:rsidRDefault="001D1F8D" w:rsidP="007E1D7D">
            <w:pPr>
              <w:spacing w:line="259" w:lineRule="auto"/>
              <w:jc w:val="center"/>
              <w:rPr>
                <w:sz w:val="20"/>
                <w:szCs w:val="20"/>
              </w:rPr>
            </w:pPr>
            <w:r w:rsidRPr="00560845">
              <w:rPr>
                <w:sz w:val="20"/>
                <w:szCs w:val="20"/>
              </w:rPr>
              <w:t>5%</w:t>
            </w:r>
          </w:p>
        </w:tc>
        <w:tc>
          <w:tcPr>
            <w:tcW w:w="1737" w:type="dxa"/>
            <w:tcBorders>
              <w:top w:val="nil"/>
              <w:left w:val="nil"/>
              <w:bottom w:val="single" w:sz="4" w:space="0" w:color="auto"/>
              <w:right w:val="single" w:sz="8" w:space="0" w:color="auto"/>
            </w:tcBorders>
            <w:noWrap/>
            <w:vAlign w:val="bottom"/>
          </w:tcPr>
          <w:p w14:paraId="1BDFDECB" w14:textId="77777777" w:rsidR="001D1F8D" w:rsidRPr="00560845" w:rsidRDefault="001D1F8D" w:rsidP="007E1D7D">
            <w:pPr>
              <w:spacing w:line="259" w:lineRule="auto"/>
              <w:jc w:val="center"/>
              <w:rPr>
                <w:sz w:val="20"/>
                <w:szCs w:val="20"/>
              </w:rPr>
            </w:pPr>
            <w:r w:rsidRPr="00560845">
              <w:rPr>
                <w:sz w:val="20"/>
                <w:szCs w:val="20"/>
              </w:rPr>
              <w:t>160</w:t>
            </w:r>
          </w:p>
        </w:tc>
      </w:tr>
      <w:tr w:rsidR="001D1F8D" w:rsidRPr="00560845" w14:paraId="52B5A89D" w14:textId="77777777" w:rsidTr="001D1F8D">
        <w:trPr>
          <w:trHeight w:val="255"/>
        </w:trPr>
        <w:tc>
          <w:tcPr>
            <w:tcW w:w="3220" w:type="dxa"/>
            <w:tcBorders>
              <w:top w:val="nil"/>
              <w:left w:val="single" w:sz="8" w:space="0" w:color="auto"/>
              <w:bottom w:val="single" w:sz="4" w:space="0" w:color="auto"/>
              <w:right w:val="single" w:sz="4" w:space="0" w:color="auto"/>
            </w:tcBorders>
            <w:noWrap/>
            <w:vAlign w:val="bottom"/>
          </w:tcPr>
          <w:p w14:paraId="307A1A0A" w14:textId="77777777" w:rsidR="001D1F8D" w:rsidRPr="00560845" w:rsidRDefault="001D1F8D" w:rsidP="007E1D7D">
            <w:pPr>
              <w:spacing w:line="259" w:lineRule="auto"/>
              <w:rPr>
                <w:sz w:val="20"/>
                <w:szCs w:val="20"/>
              </w:rPr>
            </w:pPr>
            <w:r w:rsidRPr="00560845">
              <w:rPr>
                <w:sz w:val="20"/>
                <w:szCs w:val="20"/>
              </w:rPr>
              <w:t>C/3, C/4, C/5</w:t>
            </w:r>
          </w:p>
        </w:tc>
        <w:tc>
          <w:tcPr>
            <w:tcW w:w="1703" w:type="dxa"/>
            <w:tcBorders>
              <w:top w:val="nil"/>
              <w:left w:val="nil"/>
              <w:bottom w:val="single" w:sz="4" w:space="0" w:color="auto"/>
              <w:right w:val="single" w:sz="4" w:space="0" w:color="auto"/>
            </w:tcBorders>
            <w:noWrap/>
            <w:vAlign w:val="bottom"/>
          </w:tcPr>
          <w:p w14:paraId="5745B24B" w14:textId="77777777" w:rsidR="001D1F8D" w:rsidRPr="00560845" w:rsidRDefault="001D1F8D" w:rsidP="007E1D7D">
            <w:pPr>
              <w:spacing w:line="259" w:lineRule="auto"/>
              <w:jc w:val="center"/>
              <w:rPr>
                <w:sz w:val="20"/>
                <w:szCs w:val="20"/>
              </w:rPr>
            </w:pPr>
            <w:r w:rsidRPr="00560845">
              <w:rPr>
                <w:sz w:val="20"/>
                <w:szCs w:val="20"/>
              </w:rPr>
              <w:t>5%</w:t>
            </w:r>
          </w:p>
        </w:tc>
        <w:tc>
          <w:tcPr>
            <w:tcW w:w="1737" w:type="dxa"/>
            <w:tcBorders>
              <w:top w:val="nil"/>
              <w:left w:val="nil"/>
              <w:bottom w:val="single" w:sz="4" w:space="0" w:color="auto"/>
              <w:right w:val="single" w:sz="8" w:space="0" w:color="auto"/>
            </w:tcBorders>
            <w:noWrap/>
            <w:vAlign w:val="bottom"/>
          </w:tcPr>
          <w:p w14:paraId="27D5DE16" w14:textId="77777777" w:rsidR="001D1F8D" w:rsidRPr="00560845" w:rsidRDefault="001D1F8D" w:rsidP="007E1D7D">
            <w:pPr>
              <w:spacing w:line="259" w:lineRule="auto"/>
              <w:jc w:val="center"/>
              <w:rPr>
                <w:sz w:val="20"/>
                <w:szCs w:val="20"/>
              </w:rPr>
            </w:pPr>
            <w:r w:rsidRPr="00560845">
              <w:rPr>
                <w:sz w:val="20"/>
                <w:szCs w:val="20"/>
              </w:rPr>
              <w:t>140</w:t>
            </w:r>
          </w:p>
        </w:tc>
      </w:tr>
      <w:tr w:rsidR="001D1F8D" w:rsidRPr="00560845" w14:paraId="7D970329" w14:textId="77777777" w:rsidTr="001D1F8D">
        <w:trPr>
          <w:trHeight w:val="255"/>
        </w:trPr>
        <w:tc>
          <w:tcPr>
            <w:tcW w:w="3220" w:type="dxa"/>
            <w:tcBorders>
              <w:top w:val="nil"/>
              <w:left w:val="single" w:sz="8" w:space="0" w:color="auto"/>
              <w:bottom w:val="single" w:sz="4" w:space="0" w:color="auto"/>
              <w:right w:val="single" w:sz="4" w:space="0" w:color="auto"/>
            </w:tcBorders>
            <w:noWrap/>
            <w:vAlign w:val="bottom"/>
          </w:tcPr>
          <w:p w14:paraId="1E1278D6" w14:textId="77777777" w:rsidR="001D1F8D" w:rsidRPr="00560845" w:rsidRDefault="001D1F8D" w:rsidP="007E1D7D">
            <w:pPr>
              <w:spacing w:line="259" w:lineRule="auto"/>
              <w:rPr>
                <w:sz w:val="20"/>
                <w:szCs w:val="20"/>
              </w:rPr>
            </w:pPr>
            <w:r w:rsidRPr="00560845">
              <w:rPr>
                <w:sz w:val="20"/>
                <w:szCs w:val="20"/>
              </w:rPr>
              <w:t>dal D/1 a D/10 (escluso D/5)</w:t>
            </w:r>
          </w:p>
        </w:tc>
        <w:tc>
          <w:tcPr>
            <w:tcW w:w="1703" w:type="dxa"/>
            <w:tcBorders>
              <w:top w:val="nil"/>
              <w:left w:val="nil"/>
              <w:bottom w:val="single" w:sz="4" w:space="0" w:color="auto"/>
              <w:right w:val="single" w:sz="4" w:space="0" w:color="auto"/>
            </w:tcBorders>
            <w:noWrap/>
            <w:vAlign w:val="bottom"/>
          </w:tcPr>
          <w:p w14:paraId="45B26F80" w14:textId="77777777" w:rsidR="001D1F8D" w:rsidRPr="00560845" w:rsidRDefault="001D1F8D" w:rsidP="007E1D7D">
            <w:pPr>
              <w:spacing w:line="259" w:lineRule="auto"/>
              <w:jc w:val="center"/>
              <w:rPr>
                <w:sz w:val="20"/>
                <w:szCs w:val="20"/>
              </w:rPr>
            </w:pPr>
            <w:r w:rsidRPr="00560845">
              <w:rPr>
                <w:sz w:val="20"/>
                <w:szCs w:val="20"/>
              </w:rPr>
              <w:t>5%</w:t>
            </w:r>
          </w:p>
        </w:tc>
        <w:tc>
          <w:tcPr>
            <w:tcW w:w="1737" w:type="dxa"/>
            <w:tcBorders>
              <w:top w:val="nil"/>
              <w:left w:val="nil"/>
              <w:bottom w:val="single" w:sz="4" w:space="0" w:color="auto"/>
              <w:right w:val="single" w:sz="8" w:space="0" w:color="auto"/>
            </w:tcBorders>
            <w:noWrap/>
            <w:vAlign w:val="bottom"/>
          </w:tcPr>
          <w:p w14:paraId="696C5F75" w14:textId="77777777" w:rsidR="001D1F8D" w:rsidRPr="00560845" w:rsidRDefault="001D1F8D" w:rsidP="007E1D7D">
            <w:pPr>
              <w:spacing w:line="259" w:lineRule="auto"/>
              <w:jc w:val="center"/>
              <w:rPr>
                <w:sz w:val="20"/>
                <w:szCs w:val="20"/>
              </w:rPr>
            </w:pPr>
            <w:r w:rsidRPr="00560845">
              <w:rPr>
                <w:sz w:val="20"/>
                <w:szCs w:val="20"/>
              </w:rPr>
              <w:t>62</w:t>
            </w:r>
          </w:p>
        </w:tc>
      </w:tr>
      <w:tr w:rsidR="001D1F8D" w:rsidRPr="00560845" w14:paraId="43DAC867" w14:textId="77777777" w:rsidTr="001D1F8D">
        <w:trPr>
          <w:trHeight w:val="270"/>
        </w:trPr>
        <w:tc>
          <w:tcPr>
            <w:tcW w:w="3220" w:type="dxa"/>
            <w:tcBorders>
              <w:top w:val="nil"/>
              <w:left w:val="single" w:sz="8" w:space="0" w:color="auto"/>
              <w:bottom w:val="single" w:sz="8" w:space="0" w:color="auto"/>
              <w:right w:val="single" w:sz="4" w:space="0" w:color="auto"/>
            </w:tcBorders>
            <w:noWrap/>
            <w:vAlign w:val="bottom"/>
          </w:tcPr>
          <w:p w14:paraId="25613F2C" w14:textId="77777777" w:rsidR="001D1F8D" w:rsidRPr="00560845" w:rsidRDefault="001D1F8D" w:rsidP="007E1D7D">
            <w:pPr>
              <w:spacing w:line="259" w:lineRule="auto"/>
              <w:rPr>
                <w:sz w:val="20"/>
                <w:szCs w:val="20"/>
              </w:rPr>
            </w:pPr>
            <w:r w:rsidRPr="00560845">
              <w:rPr>
                <w:sz w:val="20"/>
                <w:szCs w:val="20"/>
              </w:rPr>
              <w:t>D/5</w:t>
            </w:r>
          </w:p>
        </w:tc>
        <w:tc>
          <w:tcPr>
            <w:tcW w:w="1703" w:type="dxa"/>
            <w:tcBorders>
              <w:top w:val="nil"/>
              <w:left w:val="nil"/>
              <w:bottom w:val="single" w:sz="8" w:space="0" w:color="auto"/>
              <w:right w:val="single" w:sz="4" w:space="0" w:color="auto"/>
            </w:tcBorders>
            <w:noWrap/>
            <w:vAlign w:val="bottom"/>
          </w:tcPr>
          <w:p w14:paraId="1EC13774" w14:textId="77777777" w:rsidR="001D1F8D" w:rsidRPr="00560845" w:rsidRDefault="001D1F8D" w:rsidP="007E1D7D">
            <w:pPr>
              <w:spacing w:line="259" w:lineRule="auto"/>
              <w:jc w:val="center"/>
              <w:rPr>
                <w:sz w:val="20"/>
                <w:szCs w:val="20"/>
              </w:rPr>
            </w:pPr>
            <w:r w:rsidRPr="00560845">
              <w:rPr>
                <w:sz w:val="20"/>
                <w:szCs w:val="20"/>
              </w:rPr>
              <w:t>5%</w:t>
            </w:r>
          </w:p>
        </w:tc>
        <w:tc>
          <w:tcPr>
            <w:tcW w:w="1737" w:type="dxa"/>
            <w:tcBorders>
              <w:top w:val="nil"/>
              <w:left w:val="nil"/>
              <w:bottom w:val="single" w:sz="8" w:space="0" w:color="auto"/>
              <w:right w:val="single" w:sz="8" w:space="0" w:color="auto"/>
            </w:tcBorders>
            <w:noWrap/>
            <w:vAlign w:val="bottom"/>
          </w:tcPr>
          <w:p w14:paraId="75792704" w14:textId="77777777" w:rsidR="001D1F8D" w:rsidRPr="00560845" w:rsidRDefault="001D1F8D" w:rsidP="007E1D7D">
            <w:pPr>
              <w:spacing w:line="259" w:lineRule="auto"/>
              <w:jc w:val="center"/>
              <w:rPr>
                <w:sz w:val="20"/>
                <w:szCs w:val="20"/>
              </w:rPr>
            </w:pPr>
            <w:r w:rsidRPr="00560845">
              <w:rPr>
                <w:sz w:val="20"/>
                <w:szCs w:val="20"/>
              </w:rPr>
              <w:t>80</w:t>
            </w:r>
          </w:p>
        </w:tc>
      </w:tr>
      <w:tr w:rsidR="001D1F8D" w:rsidRPr="00560845" w14:paraId="02C4D483" w14:textId="77777777" w:rsidTr="001D1F8D">
        <w:trPr>
          <w:trHeight w:val="270"/>
        </w:trPr>
        <w:tc>
          <w:tcPr>
            <w:tcW w:w="3220" w:type="dxa"/>
            <w:tcBorders>
              <w:top w:val="nil"/>
              <w:left w:val="single" w:sz="8" w:space="0" w:color="auto"/>
              <w:bottom w:val="single" w:sz="8" w:space="0" w:color="auto"/>
              <w:right w:val="single" w:sz="4" w:space="0" w:color="auto"/>
            </w:tcBorders>
            <w:noWrap/>
            <w:vAlign w:val="bottom"/>
          </w:tcPr>
          <w:p w14:paraId="3B46EC50" w14:textId="77777777" w:rsidR="001D1F8D" w:rsidRPr="00560845" w:rsidRDefault="001D1F8D" w:rsidP="007E1D7D">
            <w:pPr>
              <w:spacing w:line="259" w:lineRule="auto"/>
              <w:rPr>
                <w:b/>
                <w:sz w:val="20"/>
                <w:szCs w:val="20"/>
              </w:rPr>
            </w:pPr>
            <w:r w:rsidRPr="00560845">
              <w:rPr>
                <w:b/>
                <w:sz w:val="20"/>
                <w:szCs w:val="20"/>
              </w:rPr>
              <w:t>terreni agricoli</w:t>
            </w:r>
          </w:p>
        </w:tc>
        <w:tc>
          <w:tcPr>
            <w:tcW w:w="1703" w:type="dxa"/>
            <w:tcBorders>
              <w:top w:val="nil"/>
              <w:left w:val="nil"/>
              <w:bottom w:val="single" w:sz="8" w:space="0" w:color="auto"/>
              <w:right w:val="single" w:sz="4" w:space="0" w:color="auto"/>
            </w:tcBorders>
            <w:noWrap/>
            <w:vAlign w:val="bottom"/>
          </w:tcPr>
          <w:p w14:paraId="2AE48B2F" w14:textId="77777777" w:rsidR="001D1F8D" w:rsidRPr="00560845" w:rsidRDefault="001D1F8D" w:rsidP="007E1D7D">
            <w:pPr>
              <w:spacing w:line="259" w:lineRule="auto"/>
              <w:jc w:val="center"/>
              <w:rPr>
                <w:sz w:val="20"/>
                <w:szCs w:val="20"/>
              </w:rPr>
            </w:pPr>
            <w:r w:rsidRPr="00560845">
              <w:rPr>
                <w:sz w:val="20"/>
                <w:szCs w:val="20"/>
              </w:rPr>
              <w:t>25%</w:t>
            </w:r>
          </w:p>
        </w:tc>
        <w:tc>
          <w:tcPr>
            <w:tcW w:w="1737" w:type="dxa"/>
            <w:tcBorders>
              <w:top w:val="nil"/>
              <w:left w:val="nil"/>
              <w:bottom w:val="single" w:sz="8" w:space="0" w:color="auto"/>
              <w:right w:val="single" w:sz="8" w:space="0" w:color="auto"/>
            </w:tcBorders>
            <w:noWrap/>
            <w:vAlign w:val="bottom"/>
          </w:tcPr>
          <w:p w14:paraId="1CBC66EA" w14:textId="77777777" w:rsidR="001D1F8D" w:rsidRPr="00560845" w:rsidRDefault="001D1F8D" w:rsidP="007E1D7D">
            <w:pPr>
              <w:spacing w:line="259" w:lineRule="auto"/>
              <w:jc w:val="center"/>
              <w:rPr>
                <w:sz w:val="20"/>
                <w:szCs w:val="20"/>
              </w:rPr>
            </w:pPr>
            <w:r w:rsidRPr="00560845">
              <w:rPr>
                <w:sz w:val="20"/>
                <w:szCs w:val="20"/>
              </w:rPr>
              <w:t>135</w:t>
            </w:r>
          </w:p>
        </w:tc>
      </w:tr>
    </w:tbl>
    <w:p w14:paraId="54194D3A" w14:textId="77777777" w:rsidR="00A80435" w:rsidRDefault="00A80435" w:rsidP="007E1D7D">
      <w:pPr>
        <w:autoSpaceDE w:val="0"/>
        <w:autoSpaceDN w:val="0"/>
        <w:adjustRightInd w:val="0"/>
        <w:spacing w:line="259" w:lineRule="auto"/>
        <w:jc w:val="both"/>
        <w:rPr>
          <w:color w:val="000000"/>
        </w:rPr>
      </w:pPr>
    </w:p>
    <w:p w14:paraId="69B48748" w14:textId="77777777" w:rsidR="00560845" w:rsidRDefault="00560845" w:rsidP="007E1D7D">
      <w:pPr>
        <w:autoSpaceDE w:val="0"/>
        <w:autoSpaceDN w:val="0"/>
        <w:adjustRightInd w:val="0"/>
        <w:spacing w:line="259" w:lineRule="auto"/>
        <w:jc w:val="both"/>
        <w:rPr>
          <w:color w:val="000000"/>
        </w:rPr>
      </w:pPr>
    </w:p>
    <w:p w14:paraId="4DB6C480" w14:textId="77777777" w:rsidR="00560845" w:rsidRPr="00560845" w:rsidRDefault="00560845" w:rsidP="007E1D7D">
      <w:pPr>
        <w:autoSpaceDE w:val="0"/>
        <w:autoSpaceDN w:val="0"/>
        <w:adjustRightInd w:val="0"/>
        <w:spacing w:line="259" w:lineRule="auto"/>
        <w:jc w:val="both"/>
        <w:rPr>
          <w:color w:val="000000"/>
        </w:rPr>
      </w:pPr>
    </w:p>
    <w:p w14:paraId="779D3930" w14:textId="77777777" w:rsidR="005133F9" w:rsidRPr="00560845" w:rsidRDefault="005133F9" w:rsidP="007E1D7D">
      <w:pPr>
        <w:autoSpaceDE w:val="0"/>
        <w:autoSpaceDN w:val="0"/>
        <w:adjustRightInd w:val="0"/>
        <w:spacing w:line="259" w:lineRule="auto"/>
        <w:jc w:val="both"/>
        <w:rPr>
          <w:color w:val="000000"/>
          <w:sz w:val="22"/>
          <w:szCs w:val="22"/>
        </w:rPr>
      </w:pPr>
      <w:r w:rsidRPr="00560845">
        <w:rPr>
          <w:color w:val="000000"/>
          <w:sz w:val="22"/>
          <w:szCs w:val="22"/>
        </w:rPr>
        <w:lastRenderedPageBreak/>
        <w:t xml:space="preserve">La </w:t>
      </w:r>
      <w:r w:rsidRPr="00560845">
        <w:rPr>
          <w:color w:val="000000"/>
          <w:sz w:val="22"/>
          <w:szCs w:val="22"/>
          <w:u w:val="single"/>
        </w:rPr>
        <w:t>base imponibile</w:t>
      </w:r>
      <w:r w:rsidRPr="00560845">
        <w:rPr>
          <w:color w:val="000000"/>
          <w:sz w:val="22"/>
          <w:szCs w:val="22"/>
        </w:rPr>
        <w:t xml:space="preserve"> è </w:t>
      </w:r>
      <w:r w:rsidRPr="00560845">
        <w:rPr>
          <w:b/>
          <w:color w:val="000000"/>
          <w:sz w:val="22"/>
          <w:szCs w:val="22"/>
          <w:u w:val="single"/>
        </w:rPr>
        <w:t xml:space="preserve">ridotta </w:t>
      </w:r>
      <w:r w:rsidRPr="00560845">
        <w:rPr>
          <w:color w:val="000000"/>
          <w:sz w:val="22"/>
          <w:szCs w:val="22"/>
        </w:rPr>
        <w:t>nei seguenti casi:</w:t>
      </w:r>
    </w:p>
    <w:p w14:paraId="65A7ECB5" w14:textId="77777777" w:rsidR="005133F9" w:rsidRPr="00560845" w:rsidRDefault="005133F9" w:rsidP="00560845">
      <w:pPr>
        <w:autoSpaceDE w:val="0"/>
        <w:autoSpaceDN w:val="0"/>
        <w:adjustRightInd w:val="0"/>
        <w:spacing w:line="259" w:lineRule="auto"/>
        <w:ind w:left="284" w:hanging="284"/>
        <w:jc w:val="both"/>
        <w:rPr>
          <w:color w:val="000000"/>
          <w:sz w:val="22"/>
          <w:szCs w:val="22"/>
        </w:rPr>
      </w:pPr>
      <w:r w:rsidRPr="00560845">
        <w:rPr>
          <w:color w:val="000000"/>
          <w:sz w:val="22"/>
          <w:szCs w:val="22"/>
        </w:rPr>
        <w:t xml:space="preserve">-  </w:t>
      </w:r>
      <w:r w:rsidR="00560845">
        <w:rPr>
          <w:color w:val="000000"/>
          <w:sz w:val="22"/>
          <w:szCs w:val="22"/>
        </w:rPr>
        <w:tab/>
      </w:r>
      <w:r w:rsidRPr="00560845">
        <w:rPr>
          <w:color w:val="000000"/>
          <w:sz w:val="22"/>
          <w:szCs w:val="22"/>
        </w:rPr>
        <w:t xml:space="preserve">nella misura del 25% (imponibile al 75%) per le </w:t>
      </w:r>
      <w:r w:rsidRPr="00560845">
        <w:rPr>
          <w:b/>
          <w:bCs/>
          <w:color w:val="000000"/>
          <w:sz w:val="22"/>
          <w:szCs w:val="22"/>
        </w:rPr>
        <w:t>abitazioni locate a canone concordato</w:t>
      </w:r>
      <w:r w:rsidRPr="00560845">
        <w:rPr>
          <w:color w:val="000000"/>
          <w:sz w:val="22"/>
          <w:szCs w:val="22"/>
        </w:rPr>
        <w:t xml:space="preserve">, di cui alla Legge n. 431/1998, </w:t>
      </w:r>
    </w:p>
    <w:p w14:paraId="7630C8C6" w14:textId="77777777" w:rsidR="005133F9" w:rsidRPr="00560845" w:rsidRDefault="005133F9" w:rsidP="00560845">
      <w:pPr>
        <w:autoSpaceDE w:val="0"/>
        <w:autoSpaceDN w:val="0"/>
        <w:adjustRightInd w:val="0"/>
        <w:spacing w:line="259" w:lineRule="auto"/>
        <w:ind w:left="284" w:hanging="284"/>
        <w:rPr>
          <w:color w:val="000000"/>
          <w:sz w:val="22"/>
          <w:szCs w:val="22"/>
        </w:rPr>
      </w:pPr>
      <w:r w:rsidRPr="00560845">
        <w:rPr>
          <w:color w:val="000000"/>
          <w:sz w:val="22"/>
          <w:szCs w:val="22"/>
        </w:rPr>
        <w:t xml:space="preserve">-  </w:t>
      </w:r>
      <w:r w:rsidR="00560845">
        <w:rPr>
          <w:color w:val="000000"/>
          <w:sz w:val="22"/>
          <w:szCs w:val="22"/>
        </w:rPr>
        <w:tab/>
      </w:r>
      <w:r w:rsidRPr="00560845">
        <w:rPr>
          <w:color w:val="000000"/>
          <w:sz w:val="22"/>
          <w:szCs w:val="22"/>
        </w:rPr>
        <w:t>nella misura del 50</w:t>
      </w:r>
      <w:r w:rsidR="00325EB1" w:rsidRPr="00560845">
        <w:rPr>
          <w:color w:val="000000"/>
          <w:sz w:val="22"/>
          <w:szCs w:val="22"/>
        </w:rPr>
        <w:t>%</w:t>
      </w:r>
      <w:r w:rsidRPr="00560845">
        <w:rPr>
          <w:color w:val="000000"/>
          <w:sz w:val="22"/>
          <w:szCs w:val="22"/>
        </w:rPr>
        <w:t xml:space="preserve"> per:</w:t>
      </w:r>
    </w:p>
    <w:p w14:paraId="489338C8" w14:textId="77777777" w:rsidR="005133F9" w:rsidRPr="00560845" w:rsidRDefault="005133F9" w:rsidP="00560845">
      <w:pPr>
        <w:numPr>
          <w:ilvl w:val="0"/>
          <w:numId w:val="9"/>
        </w:numPr>
        <w:tabs>
          <w:tab w:val="clear" w:pos="1788"/>
        </w:tabs>
        <w:autoSpaceDE w:val="0"/>
        <w:autoSpaceDN w:val="0"/>
        <w:adjustRightInd w:val="0"/>
        <w:spacing w:line="259" w:lineRule="auto"/>
        <w:ind w:left="568" w:hanging="284"/>
        <w:jc w:val="both"/>
        <w:rPr>
          <w:color w:val="000000"/>
          <w:sz w:val="22"/>
          <w:szCs w:val="22"/>
        </w:rPr>
      </w:pPr>
      <w:r w:rsidRPr="00560845">
        <w:rPr>
          <w:color w:val="000000"/>
          <w:sz w:val="22"/>
          <w:szCs w:val="22"/>
        </w:rPr>
        <w:t>fabbricati inagibili o inabitabili,</w:t>
      </w:r>
    </w:p>
    <w:p w14:paraId="52F63D60" w14:textId="77777777" w:rsidR="005133F9" w:rsidRPr="00560845" w:rsidRDefault="005133F9" w:rsidP="00560845">
      <w:pPr>
        <w:numPr>
          <w:ilvl w:val="0"/>
          <w:numId w:val="9"/>
        </w:numPr>
        <w:tabs>
          <w:tab w:val="clear" w:pos="1788"/>
        </w:tabs>
        <w:autoSpaceDE w:val="0"/>
        <w:autoSpaceDN w:val="0"/>
        <w:adjustRightInd w:val="0"/>
        <w:spacing w:line="259" w:lineRule="auto"/>
        <w:ind w:left="568" w:hanging="284"/>
        <w:jc w:val="both"/>
        <w:rPr>
          <w:color w:val="000000"/>
          <w:sz w:val="22"/>
          <w:szCs w:val="22"/>
        </w:rPr>
      </w:pPr>
      <w:r w:rsidRPr="00560845">
        <w:rPr>
          <w:color w:val="000000"/>
          <w:sz w:val="22"/>
          <w:szCs w:val="22"/>
        </w:rPr>
        <w:t>edifici di interesse storico o artistico,</w:t>
      </w:r>
    </w:p>
    <w:p w14:paraId="4B9D7B38" w14:textId="77777777" w:rsidR="005133F9" w:rsidRPr="00560845" w:rsidRDefault="00325EB1" w:rsidP="00560845">
      <w:pPr>
        <w:numPr>
          <w:ilvl w:val="0"/>
          <w:numId w:val="9"/>
        </w:numPr>
        <w:tabs>
          <w:tab w:val="clear" w:pos="1788"/>
        </w:tabs>
        <w:autoSpaceDE w:val="0"/>
        <w:autoSpaceDN w:val="0"/>
        <w:adjustRightInd w:val="0"/>
        <w:spacing w:after="120" w:line="259" w:lineRule="auto"/>
        <w:ind w:left="568" w:hanging="284"/>
        <w:jc w:val="both"/>
        <w:rPr>
          <w:color w:val="000000"/>
          <w:sz w:val="22"/>
          <w:szCs w:val="22"/>
        </w:rPr>
      </w:pPr>
      <w:r w:rsidRPr="00560845">
        <w:rPr>
          <w:color w:val="000000"/>
          <w:sz w:val="22"/>
          <w:szCs w:val="22"/>
        </w:rPr>
        <w:t>a</w:t>
      </w:r>
      <w:r w:rsidR="005133F9" w:rsidRPr="00560845">
        <w:rPr>
          <w:color w:val="000000"/>
          <w:sz w:val="22"/>
          <w:szCs w:val="22"/>
        </w:rPr>
        <w:t>bitazioni (non di “lusso”) date in comodato a parenti di primo grado che le utilizzano</w:t>
      </w:r>
      <w:r w:rsidRPr="00560845">
        <w:rPr>
          <w:color w:val="000000"/>
          <w:sz w:val="22"/>
          <w:szCs w:val="22"/>
        </w:rPr>
        <w:t xml:space="preserve"> </w:t>
      </w:r>
      <w:r w:rsidR="005133F9" w:rsidRPr="00560845">
        <w:rPr>
          <w:color w:val="000000"/>
          <w:sz w:val="22"/>
          <w:szCs w:val="22"/>
        </w:rPr>
        <w:t xml:space="preserve">come abitazione principale; in questo caso l’applicazione è </w:t>
      </w:r>
      <w:r w:rsidRPr="00560845">
        <w:rPr>
          <w:color w:val="000000"/>
          <w:sz w:val="22"/>
          <w:szCs w:val="22"/>
        </w:rPr>
        <w:t>e</w:t>
      </w:r>
      <w:r w:rsidR="005133F9" w:rsidRPr="00560845">
        <w:rPr>
          <w:color w:val="000000"/>
          <w:sz w:val="22"/>
          <w:szCs w:val="22"/>
        </w:rPr>
        <w:t>stesa anche al coniuge</w:t>
      </w:r>
      <w:r w:rsidRPr="00560845">
        <w:rPr>
          <w:color w:val="000000"/>
          <w:sz w:val="22"/>
          <w:szCs w:val="22"/>
        </w:rPr>
        <w:t xml:space="preserve"> </w:t>
      </w:r>
      <w:r w:rsidR="005133F9" w:rsidRPr="00560845">
        <w:rPr>
          <w:color w:val="000000"/>
          <w:sz w:val="22"/>
          <w:szCs w:val="22"/>
        </w:rPr>
        <w:t>superstite, in presenza di figli minori, ma occorre che il soggetto passivo possieda in Italia</w:t>
      </w:r>
      <w:r w:rsidRPr="00560845">
        <w:rPr>
          <w:color w:val="000000"/>
          <w:sz w:val="22"/>
          <w:szCs w:val="22"/>
        </w:rPr>
        <w:t xml:space="preserve"> </w:t>
      </w:r>
      <w:r w:rsidR="005133F9" w:rsidRPr="00560845">
        <w:rPr>
          <w:color w:val="000000"/>
          <w:sz w:val="22"/>
          <w:szCs w:val="22"/>
        </w:rPr>
        <w:t>non più di “un’abitazione”, prima indicata come “immobile”.</w:t>
      </w:r>
    </w:p>
    <w:p w14:paraId="738CEA08" w14:textId="77777777" w:rsidR="000452FB" w:rsidRPr="00560845" w:rsidRDefault="000452FB" w:rsidP="00560845">
      <w:pPr>
        <w:autoSpaceDE w:val="0"/>
        <w:autoSpaceDN w:val="0"/>
        <w:adjustRightInd w:val="0"/>
        <w:spacing w:after="120" w:line="259" w:lineRule="auto"/>
        <w:jc w:val="both"/>
        <w:rPr>
          <w:color w:val="000000"/>
          <w:sz w:val="22"/>
          <w:szCs w:val="22"/>
        </w:rPr>
      </w:pPr>
      <w:r w:rsidRPr="00560845">
        <w:rPr>
          <w:color w:val="000000"/>
          <w:sz w:val="22"/>
          <w:szCs w:val="22"/>
        </w:rPr>
        <w:t xml:space="preserve">Si precisa che eventuali </w:t>
      </w:r>
      <w:r w:rsidR="008D5E94" w:rsidRPr="00560845">
        <w:rPr>
          <w:b/>
          <w:bCs/>
          <w:color w:val="000000"/>
          <w:sz w:val="22"/>
          <w:szCs w:val="22"/>
        </w:rPr>
        <w:t>variazioni di rendita catastale</w:t>
      </w:r>
      <w:r w:rsidRPr="00560845">
        <w:rPr>
          <w:b/>
          <w:bCs/>
          <w:color w:val="000000"/>
          <w:sz w:val="22"/>
          <w:szCs w:val="22"/>
        </w:rPr>
        <w:t xml:space="preserve"> </w:t>
      </w:r>
      <w:r w:rsidR="008D5E94" w:rsidRPr="00560845">
        <w:rPr>
          <w:b/>
          <w:bCs/>
          <w:color w:val="000000"/>
          <w:sz w:val="22"/>
          <w:szCs w:val="22"/>
        </w:rPr>
        <w:t>intervenute in corso d’anno</w:t>
      </w:r>
      <w:r w:rsidR="008D5E94" w:rsidRPr="00560845">
        <w:rPr>
          <w:color w:val="000000"/>
          <w:sz w:val="22"/>
          <w:szCs w:val="22"/>
        </w:rPr>
        <w:t>, per interventi edilizi sul fabbricato, hanno efficacia dalla data</w:t>
      </w:r>
      <w:r w:rsidRPr="00560845">
        <w:rPr>
          <w:color w:val="000000"/>
          <w:sz w:val="22"/>
          <w:szCs w:val="22"/>
        </w:rPr>
        <w:t xml:space="preserve"> </w:t>
      </w:r>
      <w:r w:rsidR="008D5E94" w:rsidRPr="00560845">
        <w:rPr>
          <w:color w:val="000000"/>
          <w:sz w:val="22"/>
          <w:szCs w:val="22"/>
        </w:rPr>
        <w:t>di ultimazione dei lavori o, se antecedente, dalla data di utilizzo</w:t>
      </w:r>
      <w:r w:rsidRPr="00560845">
        <w:rPr>
          <w:color w:val="000000"/>
          <w:sz w:val="22"/>
          <w:szCs w:val="22"/>
        </w:rPr>
        <w:t>.</w:t>
      </w:r>
    </w:p>
    <w:p w14:paraId="7FFB3B2D" w14:textId="77777777" w:rsidR="007E1D7D" w:rsidRPr="00560845" w:rsidRDefault="007E1D7D" w:rsidP="00560845">
      <w:pPr>
        <w:pStyle w:val="PreformattatoHTML"/>
        <w:shd w:val="clear" w:color="auto" w:fill="FFFFFF"/>
        <w:spacing w:after="120" w:line="259" w:lineRule="auto"/>
        <w:jc w:val="both"/>
        <w:rPr>
          <w:rFonts w:ascii="Times New Roman" w:hAnsi="Times New Roman" w:cs="Times New Roman"/>
          <w:color w:val="000000"/>
          <w:sz w:val="22"/>
          <w:szCs w:val="22"/>
        </w:rPr>
      </w:pPr>
      <w:r w:rsidRPr="00560845">
        <w:rPr>
          <w:rFonts w:ascii="Times New Roman" w:hAnsi="Times New Roman" w:cs="Times New Roman"/>
          <w:color w:val="000000"/>
          <w:sz w:val="22"/>
          <w:szCs w:val="22"/>
        </w:rPr>
        <w:t>Per i fabbricati classificabili nel gruppo catastale D, non iscritti in catasto, interamente posseduti da imprese e distintamente contabilizzati, fino al momento della richiesta dell'attribuzione della rendita il valore è determinato, alla data di inizio di ciascun anno solare ovvero, se successiva, alla data di  acquisizione, secondo i criteri stabiliti nel penultimo periodo del c.3 dell'art. 7 del D.L. n. 333/1992, applicando i coefficienti ivi previsti, da aggiornare con  decreto  del MEF.</w:t>
      </w:r>
    </w:p>
    <w:p w14:paraId="641A1A5E" w14:textId="77777777" w:rsidR="008A0BE9" w:rsidRPr="00560845" w:rsidRDefault="000452FB" w:rsidP="00E3438B">
      <w:pPr>
        <w:autoSpaceDE w:val="0"/>
        <w:autoSpaceDN w:val="0"/>
        <w:adjustRightInd w:val="0"/>
        <w:spacing w:after="120" w:line="259" w:lineRule="auto"/>
        <w:jc w:val="both"/>
        <w:rPr>
          <w:color w:val="000000"/>
          <w:sz w:val="22"/>
          <w:szCs w:val="22"/>
        </w:rPr>
      </w:pPr>
      <w:r w:rsidRPr="00560845">
        <w:rPr>
          <w:color w:val="000000"/>
          <w:sz w:val="22"/>
          <w:szCs w:val="22"/>
        </w:rPr>
        <w:t xml:space="preserve">Per le </w:t>
      </w:r>
      <w:r w:rsidRPr="00560845">
        <w:rPr>
          <w:b/>
          <w:color w:val="000000"/>
          <w:sz w:val="22"/>
          <w:szCs w:val="22"/>
          <w:u w:val="single"/>
        </w:rPr>
        <w:t>are</w:t>
      </w:r>
      <w:r w:rsidR="00325EB1" w:rsidRPr="00560845">
        <w:rPr>
          <w:b/>
          <w:color w:val="000000"/>
          <w:sz w:val="22"/>
          <w:szCs w:val="22"/>
          <w:u w:val="single"/>
        </w:rPr>
        <w:t>e</w:t>
      </w:r>
      <w:r w:rsidRPr="00560845">
        <w:rPr>
          <w:b/>
          <w:color w:val="000000"/>
          <w:sz w:val="22"/>
          <w:szCs w:val="22"/>
          <w:u w:val="single"/>
        </w:rPr>
        <w:t xml:space="preserve"> fabbricabili</w:t>
      </w:r>
      <w:r w:rsidRPr="00560845">
        <w:rPr>
          <w:color w:val="000000"/>
          <w:sz w:val="22"/>
          <w:szCs w:val="22"/>
        </w:rPr>
        <w:t xml:space="preserve"> </w:t>
      </w:r>
      <w:r w:rsidR="001D1F8D" w:rsidRPr="00560845">
        <w:rPr>
          <w:color w:val="000000"/>
          <w:sz w:val="22"/>
          <w:szCs w:val="22"/>
        </w:rPr>
        <w:t>la base imponibile è costituita dal v</w:t>
      </w:r>
      <w:r w:rsidR="008D5E94" w:rsidRPr="00560845">
        <w:rPr>
          <w:color w:val="000000"/>
          <w:sz w:val="22"/>
          <w:szCs w:val="22"/>
        </w:rPr>
        <w:t>alore venale</w:t>
      </w:r>
      <w:r w:rsidR="008A0BE9" w:rsidRPr="00560845">
        <w:rPr>
          <w:color w:val="000000"/>
          <w:sz w:val="22"/>
          <w:szCs w:val="22"/>
        </w:rPr>
        <w:t xml:space="preserve"> in comune commercio al 1° gennaio dell'anno d’imposizione, o a far data dall'adozione degli strumenti urbanistici, avendo riguardo alla zona territoriale di ubicazione, all'indice di edificabilità, alla destinazione d'uso consentita, agli oneri per eventuali lavori di adattamento del terreno necessari per la costruzione, ai prezzi medi rilevati sul mercato dalla vendita di aree aventi analoghe caratteristiche. In caso di utilizzazione edificatoria dell'area, di   demolizione di fabbricato, di interventi di recupero a norma dell'</w:t>
      </w:r>
      <w:hyperlink r:id="rId10" w:history="1">
        <w:r w:rsidR="008A0BE9" w:rsidRPr="00560845">
          <w:rPr>
            <w:color w:val="000000"/>
            <w:sz w:val="22"/>
            <w:szCs w:val="22"/>
          </w:rPr>
          <w:t>articolo 3,  comma 1, lettere c), d) e f), del testo unico delle disposizioni legislative e regolamentari in materia edilizia, di cui al decreto del Presidente della Repubblica 6 giugno 2001, n. 380</w:t>
        </w:r>
      </w:hyperlink>
      <w:r w:rsidR="008A0BE9" w:rsidRPr="00560845">
        <w:rPr>
          <w:color w:val="000000"/>
          <w:sz w:val="22"/>
          <w:szCs w:val="22"/>
        </w:rPr>
        <w:t xml:space="preserve">, la base imponibile è costituita dal valore dell'area, la quale è considerata fabbricabile, senza computare il valore del fabbricato in corso d'opera, fino alla data di ultimazione dei lavori di costruzione, ricostruzione o ristrutturazione ovvero, se antecedente, fino alla data in cui il fabbricato costruito, ricostruito o ristrutturato è comunque  utilizzato.  </w:t>
      </w:r>
    </w:p>
    <w:p w14:paraId="58726D13" w14:textId="77777777" w:rsidR="008A0BE9" w:rsidRPr="00560845" w:rsidRDefault="001D1F8D" w:rsidP="00560845">
      <w:pPr>
        <w:autoSpaceDE w:val="0"/>
        <w:autoSpaceDN w:val="0"/>
        <w:adjustRightInd w:val="0"/>
        <w:spacing w:after="120" w:line="259" w:lineRule="auto"/>
        <w:jc w:val="both"/>
        <w:rPr>
          <w:color w:val="000000"/>
          <w:sz w:val="22"/>
          <w:szCs w:val="22"/>
        </w:rPr>
      </w:pPr>
      <w:r w:rsidRPr="00560845">
        <w:rPr>
          <w:color w:val="000000"/>
          <w:sz w:val="22"/>
          <w:szCs w:val="22"/>
        </w:rPr>
        <w:t>P</w:t>
      </w:r>
      <w:r w:rsidR="008D5E94" w:rsidRPr="00560845">
        <w:rPr>
          <w:color w:val="000000"/>
          <w:sz w:val="22"/>
          <w:szCs w:val="22"/>
        </w:rPr>
        <w:t xml:space="preserve">er i </w:t>
      </w:r>
      <w:r w:rsidR="008D5E94" w:rsidRPr="00560845">
        <w:rPr>
          <w:b/>
          <w:color w:val="000000"/>
          <w:sz w:val="22"/>
          <w:szCs w:val="22"/>
          <w:u w:val="single"/>
        </w:rPr>
        <w:t>terreni agricoli</w:t>
      </w:r>
      <w:r w:rsidR="008A0BE9" w:rsidRPr="00560845">
        <w:rPr>
          <w:b/>
          <w:color w:val="000000"/>
          <w:sz w:val="22"/>
          <w:szCs w:val="22"/>
          <w:u w:val="single"/>
        </w:rPr>
        <w:t>,</w:t>
      </w:r>
      <w:r w:rsidR="008A0BE9" w:rsidRPr="00560845">
        <w:rPr>
          <w:color w:val="000000"/>
          <w:sz w:val="22"/>
          <w:szCs w:val="22"/>
        </w:rPr>
        <w:t xml:space="preserve"> nonché quelli non coltivati,</w:t>
      </w:r>
      <w:r w:rsidRPr="00560845">
        <w:rPr>
          <w:color w:val="000000"/>
          <w:sz w:val="22"/>
          <w:szCs w:val="22"/>
        </w:rPr>
        <w:t xml:space="preserve"> la base imponibile è costituita dal </w:t>
      </w:r>
      <w:r w:rsidR="008A0BE9" w:rsidRPr="00560845">
        <w:rPr>
          <w:color w:val="000000"/>
          <w:sz w:val="22"/>
          <w:szCs w:val="22"/>
        </w:rPr>
        <w:t>reddito dominicale risultante in catasto, vigente al 1° gennaio dell'anno di imposizione, rivalutato del 25%, a cui è applicato il moltiplicatore 135.</w:t>
      </w:r>
    </w:p>
    <w:p w14:paraId="38CF6571" w14:textId="77777777" w:rsidR="008D5E94" w:rsidRPr="00560845" w:rsidRDefault="007E1D7D" w:rsidP="00E3438B">
      <w:pPr>
        <w:autoSpaceDE w:val="0"/>
        <w:autoSpaceDN w:val="0"/>
        <w:adjustRightInd w:val="0"/>
        <w:spacing w:after="120" w:line="259" w:lineRule="auto"/>
        <w:jc w:val="both"/>
        <w:rPr>
          <w:b/>
          <w:bCs/>
          <w:color w:val="000000"/>
          <w:sz w:val="22"/>
          <w:szCs w:val="22"/>
          <w:u w:val="single"/>
        </w:rPr>
      </w:pPr>
      <w:r w:rsidRPr="00560845">
        <w:rPr>
          <w:b/>
          <w:bCs/>
          <w:color w:val="000000"/>
          <w:sz w:val="22"/>
          <w:szCs w:val="22"/>
          <w:u w:val="single"/>
        </w:rPr>
        <w:t>Esenzioni</w:t>
      </w:r>
    </w:p>
    <w:p w14:paraId="07737D57" w14:textId="77777777" w:rsidR="004A64E3" w:rsidRDefault="007E1D7D" w:rsidP="00560845">
      <w:pPr>
        <w:autoSpaceDE w:val="0"/>
        <w:autoSpaceDN w:val="0"/>
        <w:adjustRightInd w:val="0"/>
        <w:spacing w:after="240" w:line="259" w:lineRule="auto"/>
        <w:jc w:val="both"/>
        <w:rPr>
          <w:bCs/>
          <w:color w:val="000000"/>
          <w:sz w:val="22"/>
          <w:szCs w:val="22"/>
        </w:rPr>
      </w:pPr>
      <w:r w:rsidRPr="00560845">
        <w:rPr>
          <w:bCs/>
          <w:color w:val="000000"/>
          <w:sz w:val="22"/>
          <w:szCs w:val="22"/>
        </w:rPr>
        <w:t>Sono applicabili le esenzioni</w:t>
      </w:r>
      <w:r w:rsidR="004A64E3" w:rsidRPr="00560845">
        <w:rPr>
          <w:bCs/>
          <w:color w:val="000000"/>
          <w:sz w:val="22"/>
          <w:szCs w:val="22"/>
        </w:rPr>
        <w:t xml:space="preserve"> di cui all’art. 1, commi 758 e 759, della Legge n. 160/2019</w:t>
      </w:r>
      <w:r w:rsidR="00BD425A" w:rsidRPr="00560845">
        <w:rPr>
          <w:bCs/>
          <w:color w:val="000000"/>
          <w:sz w:val="22"/>
          <w:szCs w:val="22"/>
        </w:rPr>
        <w:t>.</w:t>
      </w:r>
    </w:p>
    <w:p w14:paraId="749C2B8C" w14:textId="77777777" w:rsidR="00CF37BA" w:rsidRPr="00CF37BA" w:rsidRDefault="00CF37BA" w:rsidP="00560845">
      <w:pPr>
        <w:autoSpaceDE w:val="0"/>
        <w:autoSpaceDN w:val="0"/>
        <w:adjustRightInd w:val="0"/>
        <w:spacing w:after="240" w:line="259" w:lineRule="auto"/>
        <w:jc w:val="both"/>
        <w:rPr>
          <w:b/>
          <w:color w:val="000000"/>
          <w:sz w:val="22"/>
          <w:szCs w:val="22"/>
          <w:u w:val="single"/>
        </w:rPr>
      </w:pPr>
      <w:r w:rsidRPr="00CF37BA">
        <w:rPr>
          <w:b/>
          <w:color w:val="000000"/>
          <w:sz w:val="22"/>
          <w:szCs w:val="22"/>
          <w:u w:val="single"/>
        </w:rPr>
        <w:t>ESENZIONE 2020</w:t>
      </w:r>
    </w:p>
    <w:p w14:paraId="263F9BDD" w14:textId="77777777" w:rsidR="00CF37BA" w:rsidRPr="008024BF" w:rsidRDefault="00CF37BA" w:rsidP="00CF37BA">
      <w:pPr>
        <w:autoSpaceDE w:val="0"/>
        <w:autoSpaceDN w:val="0"/>
        <w:adjustRightInd w:val="0"/>
        <w:spacing w:line="259" w:lineRule="auto"/>
        <w:jc w:val="both"/>
        <w:rPr>
          <w:color w:val="000000"/>
          <w:sz w:val="22"/>
          <w:szCs w:val="22"/>
        </w:rPr>
      </w:pPr>
      <w:r>
        <w:rPr>
          <w:bCs/>
          <w:color w:val="000000"/>
          <w:sz w:val="22"/>
          <w:szCs w:val="22"/>
        </w:rPr>
        <w:t>Ai sensi dell’art. 177, del D.L. n. 34/2020 (DECRETO RILANCIO), recante “</w:t>
      </w:r>
      <w:r w:rsidRPr="00CF37BA">
        <w:rPr>
          <w:b/>
          <w:i/>
          <w:iCs/>
          <w:color w:val="000000"/>
          <w:sz w:val="22"/>
          <w:szCs w:val="22"/>
          <w:u w:val="single"/>
        </w:rPr>
        <w:t>E</w:t>
      </w:r>
      <w:r w:rsidRPr="008024BF">
        <w:rPr>
          <w:b/>
          <w:i/>
          <w:iCs/>
          <w:color w:val="000000"/>
          <w:sz w:val="22"/>
          <w:szCs w:val="22"/>
          <w:u w:val="single"/>
        </w:rPr>
        <w:t>senzioni dall'imposta municipale propria-IMU per il settore turistico</w:t>
      </w:r>
      <w:r w:rsidRPr="008024BF">
        <w:rPr>
          <w:color w:val="000000"/>
          <w:sz w:val="22"/>
          <w:szCs w:val="22"/>
        </w:rPr>
        <w:t xml:space="preserve">”, in ragione degli effetti connessi all'emergenza sanitaria da COVID 19, per l’anno 2020, non è dovuta la prima rata dell'imposta municipale propria (IMU) relativa a: </w:t>
      </w:r>
    </w:p>
    <w:p w14:paraId="714B2674" w14:textId="77777777" w:rsidR="00CF37BA" w:rsidRPr="008024BF" w:rsidRDefault="00CF37BA" w:rsidP="002B1787">
      <w:pPr>
        <w:autoSpaceDE w:val="0"/>
        <w:autoSpaceDN w:val="0"/>
        <w:adjustRightInd w:val="0"/>
        <w:spacing w:line="259" w:lineRule="auto"/>
        <w:ind w:left="284" w:hanging="284"/>
        <w:jc w:val="both"/>
        <w:rPr>
          <w:color w:val="000000"/>
          <w:sz w:val="22"/>
          <w:szCs w:val="22"/>
        </w:rPr>
      </w:pPr>
      <w:r w:rsidRPr="008024BF">
        <w:rPr>
          <w:color w:val="000000"/>
          <w:sz w:val="22"/>
          <w:szCs w:val="22"/>
        </w:rPr>
        <w:t xml:space="preserve">a) </w:t>
      </w:r>
      <w:r w:rsidR="002B1787" w:rsidRPr="008024BF">
        <w:rPr>
          <w:color w:val="000000"/>
          <w:sz w:val="22"/>
          <w:szCs w:val="22"/>
        </w:rPr>
        <w:tab/>
      </w:r>
      <w:r w:rsidRPr="008024BF">
        <w:rPr>
          <w:color w:val="000000"/>
          <w:sz w:val="22"/>
          <w:szCs w:val="22"/>
        </w:rPr>
        <w:t>immobili adibiti a stabilimenti balneari marittimi, lacuali e fluviali, nonché immobili degli stabilimenti termali;</w:t>
      </w:r>
    </w:p>
    <w:p w14:paraId="6B0F20AE" w14:textId="77777777" w:rsidR="00CF37BA" w:rsidRPr="008024BF" w:rsidRDefault="00CF37BA" w:rsidP="002B1787">
      <w:pPr>
        <w:autoSpaceDE w:val="0"/>
        <w:autoSpaceDN w:val="0"/>
        <w:adjustRightInd w:val="0"/>
        <w:spacing w:after="240" w:line="259" w:lineRule="auto"/>
        <w:ind w:left="284" w:hanging="284"/>
        <w:jc w:val="both"/>
        <w:rPr>
          <w:color w:val="000000"/>
          <w:sz w:val="22"/>
          <w:szCs w:val="22"/>
        </w:rPr>
      </w:pPr>
      <w:r w:rsidRPr="008024BF">
        <w:rPr>
          <w:color w:val="000000"/>
          <w:sz w:val="22"/>
          <w:szCs w:val="22"/>
        </w:rPr>
        <w:t xml:space="preserve">b) </w:t>
      </w:r>
      <w:r w:rsidR="002B1787" w:rsidRPr="008024BF">
        <w:rPr>
          <w:color w:val="000000"/>
          <w:sz w:val="22"/>
          <w:szCs w:val="22"/>
        </w:rPr>
        <w:tab/>
      </w:r>
      <w:r w:rsidRPr="008024BF">
        <w:rPr>
          <w:color w:val="000000"/>
          <w:sz w:val="22"/>
          <w:szCs w:val="22"/>
        </w:rPr>
        <w:t>immobili rientranti nella categoria catastale D/2 e immobili degli agriturism</w:t>
      </w:r>
      <w:r w:rsidR="002B1787" w:rsidRPr="008024BF">
        <w:rPr>
          <w:color w:val="000000"/>
          <w:sz w:val="22"/>
          <w:szCs w:val="22"/>
        </w:rPr>
        <w:t>i</w:t>
      </w:r>
      <w:r w:rsidRPr="008024BF">
        <w:rPr>
          <w:color w:val="000000"/>
          <w:sz w:val="22"/>
          <w:szCs w:val="22"/>
        </w:rPr>
        <w:t>, dei villaggi turistici, degli ostelli della gioventù, dei rifugi di montagna, delle colonie marine e montane, degli affittacamere per brevi soggiorni, delle case e appartamenti per vacanze, dei bed &amp; breakfast, dei residence e dei campeggi, a condizione che i relativi proprietari siano anche gestori delle attività ivi esercitate.</w:t>
      </w:r>
    </w:p>
    <w:p w14:paraId="3E65ACD2" w14:textId="77777777" w:rsidR="008D5E94" w:rsidRPr="008024BF" w:rsidRDefault="00BD425A" w:rsidP="00CF37BA">
      <w:pPr>
        <w:autoSpaceDE w:val="0"/>
        <w:autoSpaceDN w:val="0"/>
        <w:adjustRightInd w:val="0"/>
        <w:spacing w:after="120" w:line="259" w:lineRule="auto"/>
        <w:jc w:val="both"/>
        <w:rPr>
          <w:b/>
          <w:color w:val="000000"/>
          <w:sz w:val="22"/>
          <w:szCs w:val="22"/>
          <w:u w:val="single"/>
        </w:rPr>
      </w:pPr>
      <w:r w:rsidRPr="008024BF">
        <w:rPr>
          <w:b/>
          <w:color w:val="000000"/>
          <w:sz w:val="22"/>
          <w:szCs w:val="22"/>
          <w:u w:val="single"/>
        </w:rPr>
        <w:t>CALCOLO</w:t>
      </w:r>
      <w:r w:rsidR="008D5E94" w:rsidRPr="008024BF">
        <w:rPr>
          <w:b/>
          <w:color w:val="000000"/>
          <w:sz w:val="22"/>
          <w:szCs w:val="22"/>
          <w:u w:val="single"/>
        </w:rPr>
        <w:t xml:space="preserve"> dell’imposta</w:t>
      </w:r>
    </w:p>
    <w:p w14:paraId="5DA3C6A2" w14:textId="77777777" w:rsidR="00BD425A" w:rsidRPr="00560845" w:rsidRDefault="00BD425A" w:rsidP="00E3438B">
      <w:pPr>
        <w:pStyle w:val="PreformattatoHTML"/>
        <w:shd w:val="clear" w:color="auto" w:fill="FFFFFF"/>
        <w:spacing w:after="120" w:line="259" w:lineRule="auto"/>
        <w:jc w:val="both"/>
        <w:rPr>
          <w:rFonts w:ascii="Times New Roman" w:hAnsi="Times New Roman" w:cs="Times New Roman"/>
          <w:color w:val="000000"/>
          <w:sz w:val="22"/>
          <w:szCs w:val="22"/>
        </w:rPr>
      </w:pPr>
      <w:r w:rsidRPr="00560845">
        <w:rPr>
          <w:rFonts w:ascii="Times New Roman" w:hAnsi="Times New Roman" w:cs="Times New Roman"/>
          <w:color w:val="000000"/>
          <w:sz w:val="22"/>
          <w:szCs w:val="22"/>
        </w:rPr>
        <w:t xml:space="preserve">L'imposta è dovuta per anni solari proporzionalmente alla quota e ai mesi dell'anno nei quali si è protratto il possesso. A tal fine il mese durante il quale il possesso si è protratto per più della metà dei giorni di cui il mese stesso è composto è computato per intero. Il giorno di trasferimento del possesso si computa in capo </w:t>
      </w:r>
      <w:r w:rsidRPr="00560845">
        <w:rPr>
          <w:rFonts w:ascii="Times New Roman" w:hAnsi="Times New Roman" w:cs="Times New Roman"/>
          <w:color w:val="000000"/>
          <w:sz w:val="22"/>
          <w:szCs w:val="22"/>
        </w:rPr>
        <w:lastRenderedPageBreak/>
        <w:t>all'acquirente e l'imposta del mese del trasferimento resta interamente a suo carico nel caso in cui i giorni di possesso risultino uguali a quelli del cedente. A ciascuno degli anni solari corrisponde un'autonoma obbligazione tributaria.</w:t>
      </w:r>
    </w:p>
    <w:p w14:paraId="6F082697" w14:textId="77777777" w:rsidR="00E3438B" w:rsidRPr="00560845" w:rsidRDefault="00E3438B" w:rsidP="00BD425A">
      <w:pPr>
        <w:pStyle w:val="PreformattatoHTML"/>
        <w:shd w:val="clear" w:color="auto" w:fill="FFFFFF"/>
        <w:spacing w:line="259" w:lineRule="auto"/>
        <w:jc w:val="both"/>
        <w:rPr>
          <w:rFonts w:ascii="Times New Roman" w:hAnsi="Times New Roman" w:cs="Times New Roman"/>
          <w:color w:val="000000"/>
          <w:sz w:val="22"/>
          <w:szCs w:val="22"/>
        </w:rPr>
      </w:pPr>
      <w:r w:rsidRPr="00560845">
        <w:rPr>
          <w:rFonts w:ascii="Times New Roman" w:hAnsi="Times New Roman" w:cs="Times New Roman"/>
          <w:color w:val="000000"/>
          <w:sz w:val="22"/>
          <w:szCs w:val="22"/>
        </w:rPr>
        <w:t>L’imposta dovuta è determinata in base alla seguente formula:</w:t>
      </w:r>
    </w:p>
    <w:p w14:paraId="26BD64B8" w14:textId="77777777" w:rsidR="00E3438B" w:rsidRPr="00560845" w:rsidRDefault="00E3438B" w:rsidP="008A0BE9">
      <w:pPr>
        <w:pBdr>
          <w:top w:val="single" w:sz="4" w:space="1" w:color="auto"/>
          <w:left w:val="single" w:sz="4" w:space="4" w:color="auto"/>
          <w:bottom w:val="single" w:sz="4" w:space="1" w:color="auto"/>
          <w:right w:val="single" w:sz="4" w:space="4" w:color="auto"/>
        </w:pBdr>
        <w:autoSpaceDE w:val="0"/>
        <w:autoSpaceDN w:val="0"/>
        <w:adjustRightInd w:val="0"/>
        <w:spacing w:before="240" w:line="259" w:lineRule="auto"/>
        <w:ind w:firstLine="181"/>
        <w:jc w:val="center"/>
        <w:rPr>
          <w:b/>
          <w:color w:val="000000"/>
          <w:sz w:val="6"/>
          <w:szCs w:val="6"/>
        </w:rPr>
      </w:pPr>
    </w:p>
    <w:p w14:paraId="4ACDB60B" w14:textId="77777777" w:rsidR="00BD425A" w:rsidRPr="00560845" w:rsidRDefault="00BD425A" w:rsidP="00E3438B">
      <w:pPr>
        <w:pBdr>
          <w:top w:val="single" w:sz="4" w:space="1" w:color="auto"/>
          <w:left w:val="single" w:sz="4" w:space="4" w:color="auto"/>
          <w:bottom w:val="single" w:sz="4" w:space="1" w:color="auto"/>
          <w:right w:val="single" w:sz="4" w:space="4" w:color="auto"/>
        </w:pBdr>
        <w:autoSpaceDE w:val="0"/>
        <w:autoSpaceDN w:val="0"/>
        <w:adjustRightInd w:val="0"/>
        <w:spacing w:before="240" w:line="259" w:lineRule="auto"/>
        <w:jc w:val="center"/>
        <w:rPr>
          <w:color w:val="000000"/>
        </w:rPr>
      </w:pPr>
      <w:r w:rsidRPr="00560845">
        <w:rPr>
          <w:b/>
          <w:color w:val="000000"/>
          <w:sz w:val="26"/>
          <w:szCs w:val="26"/>
        </w:rPr>
        <w:t>IMU DOVUTA</w:t>
      </w:r>
      <w:r w:rsidRPr="00560845">
        <w:rPr>
          <w:color w:val="000000"/>
        </w:rPr>
        <w:t xml:space="preserve"> = Base imponibile x aliquota x % possesso x quota proprietà</w:t>
      </w:r>
    </w:p>
    <w:p w14:paraId="50CD9D9C" w14:textId="77777777" w:rsidR="00E3438B" w:rsidRPr="00560845" w:rsidRDefault="00E3438B" w:rsidP="008A0BE9">
      <w:pPr>
        <w:pBdr>
          <w:top w:val="single" w:sz="4" w:space="1" w:color="auto"/>
          <w:left w:val="single" w:sz="4" w:space="4" w:color="auto"/>
          <w:bottom w:val="single" w:sz="4" w:space="1" w:color="auto"/>
          <w:right w:val="single" w:sz="4" w:space="4" w:color="auto"/>
        </w:pBdr>
        <w:autoSpaceDE w:val="0"/>
        <w:autoSpaceDN w:val="0"/>
        <w:adjustRightInd w:val="0"/>
        <w:spacing w:before="240" w:line="259" w:lineRule="auto"/>
        <w:ind w:firstLine="181"/>
        <w:jc w:val="center"/>
        <w:rPr>
          <w:color w:val="000000"/>
          <w:sz w:val="6"/>
          <w:szCs w:val="6"/>
        </w:rPr>
      </w:pPr>
    </w:p>
    <w:p w14:paraId="7B244CCC" w14:textId="77777777" w:rsidR="00325EB1" w:rsidRDefault="00325EB1" w:rsidP="007E1D7D">
      <w:pPr>
        <w:autoSpaceDE w:val="0"/>
        <w:autoSpaceDN w:val="0"/>
        <w:adjustRightInd w:val="0"/>
        <w:spacing w:line="259" w:lineRule="auto"/>
        <w:rPr>
          <w:color w:val="004587"/>
        </w:rPr>
      </w:pPr>
    </w:p>
    <w:p w14:paraId="3AA33A3A" w14:textId="77777777" w:rsidR="00325EB1" w:rsidRPr="00560845" w:rsidRDefault="00325EB1" w:rsidP="00560845">
      <w:pPr>
        <w:autoSpaceDE w:val="0"/>
        <w:autoSpaceDN w:val="0"/>
        <w:adjustRightInd w:val="0"/>
        <w:spacing w:after="120" w:line="259" w:lineRule="auto"/>
        <w:jc w:val="both"/>
        <w:rPr>
          <w:b/>
          <w:color w:val="000000"/>
          <w:sz w:val="22"/>
          <w:szCs w:val="22"/>
          <w:u w:val="single"/>
        </w:rPr>
      </w:pPr>
      <w:r w:rsidRPr="00560845">
        <w:rPr>
          <w:b/>
          <w:color w:val="000000"/>
          <w:sz w:val="22"/>
          <w:szCs w:val="22"/>
          <w:u w:val="single"/>
        </w:rPr>
        <w:t>Versamenti</w:t>
      </w:r>
      <w:r w:rsidR="003E5DC6" w:rsidRPr="00560845">
        <w:rPr>
          <w:b/>
          <w:color w:val="000000"/>
          <w:sz w:val="22"/>
          <w:szCs w:val="22"/>
          <w:u w:val="single"/>
        </w:rPr>
        <w:t xml:space="preserve"> IMU 2020</w:t>
      </w:r>
    </w:p>
    <w:p w14:paraId="22FD9053" w14:textId="77777777" w:rsidR="004A64E3" w:rsidRPr="00560845" w:rsidRDefault="004A64E3" w:rsidP="00560845">
      <w:pPr>
        <w:pStyle w:val="PreformattatoHTML"/>
        <w:shd w:val="clear" w:color="auto" w:fill="FFFFFF"/>
        <w:spacing w:after="120" w:line="259" w:lineRule="auto"/>
        <w:jc w:val="both"/>
        <w:rPr>
          <w:rFonts w:ascii="Times New Roman" w:hAnsi="Times New Roman" w:cs="Times New Roman"/>
          <w:color w:val="000000"/>
          <w:sz w:val="22"/>
          <w:szCs w:val="22"/>
        </w:rPr>
      </w:pPr>
      <w:r w:rsidRPr="00560845">
        <w:rPr>
          <w:rFonts w:ascii="Times New Roman" w:hAnsi="Times New Roman" w:cs="Times New Roman"/>
          <w:color w:val="000000"/>
          <w:sz w:val="22"/>
          <w:szCs w:val="22"/>
        </w:rPr>
        <w:t>L'imposta è dovuta per anni solari proporzionalmente alla quota e ai mesi dell'anno nei quali si è protratto il possesso. Il mese durante il quale il possesso si è protratto per più della metà dei giorni di</w:t>
      </w:r>
      <w:r w:rsidR="00BD425A" w:rsidRPr="00560845">
        <w:rPr>
          <w:rFonts w:ascii="Times New Roman" w:hAnsi="Times New Roman" w:cs="Times New Roman"/>
          <w:color w:val="000000"/>
          <w:sz w:val="22"/>
          <w:szCs w:val="22"/>
        </w:rPr>
        <w:t xml:space="preserve"> </w:t>
      </w:r>
      <w:r w:rsidRPr="00560845">
        <w:rPr>
          <w:rFonts w:ascii="Times New Roman" w:hAnsi="Times New Roman" w:cs="Times New Roman"/>
          <w:color w:val="000000"/>
          <w:sz w:val="22"/>
          <w:szCs w:val="22"/>
        </w:rPr>
        <w:t xml:space="preserve">cui il mese stesso è composto è computato per intero.  Il </w:t>
      </w:r>
      <w:r w:rsidR="00560845">
        <w:rPr>
          <w:rFonts w:ascii="Times New Roman" w:hAnsi="Times New Roman" w:cs="Times New Roman"/>
          <w:color w:val="000000"/>
          <w:sz w:val="22"/>
          <w:szCs w:val="22"/>
        </w:rPr>
        <w:t>g</w:t>
      </w:r>
      <w:r w:rsidRPr="00560845">
        <w:rPr>
          <w:rFonts w:ascii="Times New Roman" w:hAnsi="Times New Roman" w:cs="Times New Roman"/>
          <w:color w:val="000000"/>
          <w:sz w:val="22"/>
          <w:szCs w:val="22"/>
        </w:rPr>
        <w:t>iorno di</w:t>
      </w:r>
      <w:r w:rsidR="00BD425A" w:rsidRPr="00560845">
        <w:rPr>
          <w:rFonts w:ascii="Times New Roman" w:hAnsi="Times New Roman" w:cs="Times New Roman"/>
          <w:color w:val="000000"/>
          <w:sz w:val="22"/>
          <w:szCs w:val="22"/>
        </w:rPr>
        <w:t xml:space="preserve"> </w:t>
      </w:r>
      <w:r w:rsidRPr="00560845">
        <w:rPr>
          <w:rFonts w:ascii="Times New Roman" w:hAnsi="Times New Roman" w:cs="Times New Roman"/>
          <w:color w:val="000000"/>
          <w:sz w:val="22"/>
          <w:szCs w:val="22"/>
        </w:rPr>
        <w:t>trasferimento del possesso si computa in capo all'acquirente e l'imposta del</w:t>
      </w:r>
      <w:r w:rsidR="00BD425A" w:rsidRPr="00560845">
        <w:rPr>
          <w:rFonts w:ascii="Times New Roman" w:hAnsi="Times New Roman" w:cs="Times New Roman"/>
          <w:color w:val="000000"/>
          <w:sz w:val="22"/>
          <w:szCs w:val="22"/>
        </w:rPr>
        <w:t xml:space="preserve"> </w:t>
      </w:r>
      <w:r w:rsidRPr="00560845">
        <w:rPr>
          <w:rFonts w:ascii="Times New Roman" w:hAnsi="Times New Roman" w:cs="Times New Roman"/>
          <w:color w:val="000000"/>
          <w:sz w:val="22"/>
          <w:szCs w:val="22"/>
        </w:rPr>
        <w:t>mese del trasferimento resta interamente a suo carico nel caso in cui i</w:t>
      </w:r>
      <w:r w:rsidR="00BD425A" w:rsidRPr="00560845">
        <w:rPr>
          <w:rFonts w:ascii="Times New Roman" w:hAnsi="Times New Roman" w:cs="Times New Roman"/>
          <w:color w:val="000000"/>
          <w:sz w:val="22"/>
          <w:szCs w:val="22"/>
        </w:rPr>
        <w:t xml:space="preserve"> </w:t>
      </w:r>
      <w:r w:rsidRPr="00560845">
        <w:rPr>
          <w:rFonts w:ascii="Times New Roman" w:hAnsi="Times New Roman" w:cs="Times New Roman"/>
          <w:color w:val="000000"/>
          <w:sz w:val="22"/>
          <w:szCs w:val="22"/>
        </w:rPr>
        <w:t>giorni di possesso risultino uguali a quelli del cedente. A ciascuno degli</w:t>
      </w:r>
      <w:r w:rsidR="00BD425A" w:rsidRPr="00560845">
        <w:rPr>
          <w:rFonts w:ascii="Times New Roman" w:hAnsi="Times New Roman" w:cs="Times New Roman"/>
          <w:color w:val="000000"/>
          <w:sz w:val="22"/>
          <w:szCs w:val="22"/>
        </w:rPr>
        <w:t xml:space="preserve"> </w:t>
      </w:r>
      <w:r w:rsidRPr="00560845">
        <w:rPr>
          <w:rFonts w:ascii="Times New Roman" w:hAnsi="Times New Roman" w:cs="Times New Roman"/>
          <w:color w:val="000000"/>
          <w:sz w:val="22"/>
          <w:szCs w:val="22"/>
        </w:rPr>
        <w:t>anni solari corrisponde un'autonoma obbligazione tributaria</w:t>
      </w:r>
      <w:r w:rsidR="00BD425A" w:rsidRPr="00560845">
        <w:rPr>
          <w:rFonts w:ascii="Times New Roman" w:hAnsi="Times New Roman" w:cs="Times New Roman"/>
          <w:color w:val="000000"/>
          <w:sz w:val="22"/>
          <w:szCs w:val="22"/>
        </w:rPr>
        <w:t>.</w:t>
      </w:r>
    </w:p>
    <w:p w14:paraId="74967E0A" w14:textId="77777777" w:rsidR="00325EB1" w:rsidRPr="00560845" w:rsidRDefault="00325EB1" w:rsidP="00560845">
      <w:pPr>
        <w:autoSpaceDE w:val="0"/>
        <w:autoSpaceDN w:val="0"/>
        <w:adjustRightInd w:val="0"/>
        <w:spacing w:after="120" w:line="259" w:lineRule="auto"/>
        <w:jc w:val="both"/>
        <w:rPr>
          <w:color w:val="000000"/>
          <w:sz w:val="22"/>
          <w:szCs w:val="22"/>
        </w:rPr>
      </w:pPr>
      <w:r w:rsidRPr="00560845">
        <w:rPr>
          <w:color w:val="000000"/>
          <w:sz w:val="22"/>
          <w:szCs w:val="22"/>
        </w:rPr>
        <w:t>L’</w:t>
      </w:r>
      <w:r w:rsidR="008D5E94" w:rsidRPr="00560845">
        <w:rPr>
          <w:color w:val="000000"/>
          <w:sz w:val="22"/>
          <w:szCs w:val="22"/>
        </w:rPr>
        <w:t>IMU</w:t>
      </w:r>
      <w:r w:rsidRPr="00560845">
        <w:rPr>
          <w:color w:val="000000"/>
          <w:sz w:val="22"/>
          <w:szCs w:val="22"/>
        </w:rPr>
        <w:t xml:space="preserve"> </w:t>
      </w:r>
      <w:r w:rsidR="008D5E94" w:rsidRPr="00560845">
        <w:rPr>
          <w:color w:val="000000"/>
          <w:sz w:val="22"/>
          <w:szCs w:val="22"/>
        </w:rPr>
        <w:t xml:space="preserve">deve essere </w:t>
      </w:r>
      <w:r w:rsidR="003E5DC6" w:rsidRPr="00560845">
        <w:rPr>
          <w:color w:val="000000"/>
          <w:sz w:val="22"/>
          <w:szCs w:val="22"/>
        </w:rPr>
        <w:t>versa</w:t>
      </w:r>
      <w:r w:rsidR="008D5E94" w:rsidRPr="00560845">
        <w:rPr>
          <w:color w:val="000000"/>
          <w:sz w:val="22"/>
          <w:szCs w:val="22"/>
        </w:rPr>
        <w:t>ta in 2 rate, scadenti la</w:t>
      </w:r>
      <w:r w:rsidRPr="00560845">
        <w:rPr>
          <w:color w:val="000000"/>
          <w:sz w:val="22"/>
          <w:szCs w:val="22"/>
        </w:rPr>
        <w:t xml:space="preserve"> </w:t>
      </w:r>
      <w:r w:rsidR="008D5E94" w:rsidRPr="00560845">
        <w:rPr>
          <w:color w:val="000000"/>
          <w:sz w:val="22"/>
          <w:szCs w:val="22"/>
        </w:rPr>
        <w:t>prima il 16 giugno e la seconda il 16 dicembre, con facoltà di versamento unico al 16</w:t>
      </w:r>
      <w:r w:rsidRPr="00560845">
        <w:rPr>
          <w:color w:val="000000"/>
          <w:sz w:val="22"/>
          <w:szCs w:val="22"/>
        </w:rPr>
        <w:t xml:space="preserve"> </w:t>
      </w:r>
      <w:r w:rsidR="008D5E94" w:rsidRPr="00560845">
        <w:rPr>
          <w:color w:val="000000"/>
          <w:sz w:val="22"/>
          <w:szCs w:val="22"/>
        </w:rPr>
        <w:t>giugno. La prima rata è determinata applicando l’aliquota e la detrazione dei dodici mesi</w:t>
      </w:r>
      <w:r w:rsidRPr="00560845">
        <w:rPr>
          <w:color w:val="000000"/>
          <w:sz w:val="22"/>
          <w:szCs w:val="22"/>
        </w:rPr>
        <w:t xml:space="preserve"> </w:t>
      </w:r>
      <w:r w:rsidR="008D5E94" w:rsidRPr="00560845">
        <w:rPr>
          <w:color w:val="000000"/>
          <w:sz w:val="22"/>
          <w:szCs w:val="22"/>
        </w:rPr>
        <w:t xml:space="preserve">dell’anno precedente. </w:t>
      </w:r>
      <w:r w:rsidR="00FF5B8C" w:rsidRPr="00560845">
        <w:rPr>
          <w:color w:val="000000"/>
          <w:sz w:val="22"/>
          <w:szCs w:val="22"/>
        </w:rPr>
        <w:t>P</w:t>
      </w:r>
      <w:r w:rsidR="008D5E94" w:rsidRPr="00560845">
        <w:rPr>
          <w:color w:val="000000"/>
          <w:sz w:val="22"/>
          <w:szCs w:val="22"/>
        </w:rPr>
        <w:t>er il 2020 la prima rata deve corrispondere alla metà di</w:t>
      </w:r>
      <w:r w:rsidR="00FF5B8C" w:rsidRPr="00560845">
        <w:rPr>
          <w:color w:val="000000"/>
          <w:sz w:val="22"/>
          <w:szCs w:val="22"/>
        </w:rPr>
        <w:t xml:space="preserve"> </w:t>
      </w:r>
      <w:r w:rsidR="008D5E94" w:rsidRPr="00560845">
        <w:rPr>
          <w:color w:val="000000"/>
          <w:sz w:val="22"/>
          <w:szCs w:val="22"/>
        </w:rPr>
        <w:t xml:space="preserve">quanto </w:t>
      </w:r>
      <w:r w:rsidR="008D5E94" w:rsidRPr="00560845">
        <w:rPr>
          <w:b/>
          <w:bCs/>
          <w:color w:val="000000"/>
          <w:sz w:val="22"/>
          <w:szCs w:val="22"/>
        </w:rPr>
        <w:t>versato</w:t>
      </w:r>
      <w:r w:rsidR="00FF5B8C" w:rsidRPr="00560845">
        <w:rPr>
          <w:b/>
          <w:bCs/>
          <w:color w:val="000000"/>
          <w:sz w:val="22"/>
          <w:szCs w:val="22"/>
        </w:rPr>
        <w:t xml:space="preserve"> nel </w:t>
      </w:r>
      <w:smartTag w:uri="urn:schemas-microsoft-com:office:smarttags" w:element="metricconverter">
        <w:smartTagPr>
          <w:attr w:name="ProductID" w:val="2019, a"/>
        </w:smartTagPr>
        <w:r w:rsidR="00FF5B8C" w:rsidRPr="00560845">
          <w:rPr>
            <w:b/>
            <w:bCs/>
            <w:color w:val="000000"/>
            <w:sz w:val="22"/>
            <w:szCs w:val="22"/>
          </w:rPr>
          <w:t>2019</w:t>
        </w:r>
        <w:r w:rsidR="008D5E94" w:rsidRPr="00560845">
          <w:rPr>
            <w:color w:val="000000"/>
            <w:sz w:val="22"/>
            <w:szCs w:val="22"/>
          </w:rPr>
          <w:t xml:space="preserve">, </w:t>
        </w:r>
        <w:r w:rsidR="00E3438B" w:rsidRPr="00560845">
          <w:rPr>
            <w:color w:val="000000"/>
            <w:sz w:val="22"/>
            <w:szCs w:val="22"/>
          </w:rPr>
          <w:t>a</w:t>
        </w:r>
      </w:smartTag>
      <w:r w:rsidR="00E3438B" w:rsidRPr="00560845">
        <w:rPr>
          <w:color w:val="000000"/>
          <w:sz w:val="22"/>
          <w:szCs w:val="22"/>
        </w:rPr>
        <w:t xml:space="preserve"> titolo di IMU e TASI, </w:t>
      </w:r>
      <w:r w:rsidR="008D5E94" w:rsidRPr="00560845">
        <w:rPr>
          <w:color w:val="000000"/>
          <w:sz w:val="22"/>
          <w:szCs w:val="22"/>
        </w:rPr>
        <w:t xml:space="preserve">operando il conguaglio </w:t>
      </w:r>
      <w:r w:rsidR="00E3438B" w:rsidRPr="00560845">
        <w:rPr>
          <w:color w:val="000000"/>
          <w:sz w:val="22"/>
          <w:szCs w:val="22"/>
        </w:rPr>
        <w:t>in occasione del saldo di</w:t>
      </w:r>
      <w:r w:rsidR="008D5E94" w:rsidRPr="00560845">
        <w:rPr>
          <w:color w:val="000000"/>
          <w:sz w:val="22"/>
          <w:szCs w:val="22"/>
        </w:rPr>
        <w:t xml:space="preserve"> dicembre, sulla</w:t>
      </w:r>
      <w:r w:rsidR="00FF5B8C" w:rsidRPr="00560845">
        <w:rPr>
          <w:color w:val="000000"/>
          <w:sz w:val="22"/>
          <w:szCs w:val="22"/>
        </w:rPr>
        <w:t xml:space="preserve"> </w:t>
      </w:r>
      <w:r w:rsidR="008D5E94" w:rsidRPr="00560845">
        <w:rPr>
          <w:color w:val="000000"/>
          <w:sz w:val="22"/>
          <w:szCs w:val="22"/>
        </w:rPr>
        <w:t xml:space="preserve">base delle aliquote </w:t>
      </w:r>
      <w:r w:rsidRPr="00560845">
        <w:rPr>
          <w:color w:val="000000"/>
          <w:sz w:val="22"/>
          <w:szCs w:val="22"/>
        </w:rPr>
        <w:t>approva</w:t>
      </w:r>
      <w:r w:rsidR="00E3438B" w:rsidRPr="00560845">
        <w:rPr>
          <w:color w:val="000000"/>
          <w:sz w:val="22"/>
          <w:szCs w:val="22"/>
        </w:rPr>
        <w:t>te per il 2020, salvo variazione intervenute in corso d’anno.</w:t>
      </w:r>
    </w:p>
    <w:p w14:paraId="4C6E472F" w14:textId="77777777" w:rsidR="00325EB1" w:rsidRPr="00560845" w:rsidRDefault="00325EB1" w:rsidP="00560845">
      <w:pPr>
        <w:autoSpaceDE w:val="0"/>
        <w:autoSpaceDN w:val="0"/>
        <w:adjustRightInd w:val="0"/>
        <w:spacing w:after="240" w:line="259" w:lineRule="auto"/>
        <w:jc w:val="both"/>
        <w:rPr>
          <w:color w:val="000000"/>
          <w:sz w:val="22"/>
          <w:szCs w:val="22"/>
        </w:rPr>
      </w:pPr>
      <w:r w:rsidRPr="00560845">
        <w:rPr>
          <w:color w:val="000000"/>
          <w:sz w:val="22"/>
          <w:szCs w:val="22"/>
        </w:rPr>
        <w:t>I</w:t>
      </w:r>
      <w:r w:rsidR="008D5E94" w:rsidRPr="00560845">
        <w:rPr>
          <w:color w:val="000000"/>
          <w:sz w:val="22"/>
          <w:szCs w:val="22"/>
        </w:rPr>
        <w:t xml:space="preserve"> versamenti devono essere effettuati mediante il modello F24 o con</w:t>
      </w:r>
      <w:r w:rsidRPr="00560845">
        <w:rPr>
          <w:color w:val="000000"/>
          <w:sz w:val="22"/>
          <w:szCs w:val="22"/>
        </w:rPr>
        <w:t xml:space="preserve"> </w:t>
      </w:r>
      <w:r w:rsidR="008D5E94" w:rsidRPr="00560845">
        <w:rPr>
          <w:color w:val="000000"/>
          <w:sz w:val="22"/>
          <w:szCs w:val="22"/>
        </w:rPr>
        <w:t>le modalità previste dal codice dell’amministrazione digitale (pagoPA)</w:t>
      </w:r>
      <w:r w:rsidRPr="00560845">
        <w:rPr>
          <w:color w:val="000000"/>
          <w:sz w:val="22"/>
          <w:szCs w:val="22"/>
        </w:rPr>
        <w:t>.</w:t>
      </w:r>
    </w:p>
    <w:p w14:paraId="3DADB229" w14:textId="77777777" w:rsidR="008D5E94" w:rsidRPr="00560845" w:rsidRDefault="008D5E94" w:rsidP="00560845">
      <w:pPr>
        <w:autoSpaceDE w:val="0"/>
        <w:autoSpaceDN w:val="0"/>
        <w:adjustRightInd w:val="0"/>
        <w:spacing w:after="120" w:line="259" w:lineRule="auto"/>
        <w:jc w:val="both"/>
        <w:rPr>
          <w:b/>
          <w:bCs/>
          <w:color w:val="000000"/>
          <w:sz w:val="22"/>
          <w:szCs w:val="22"/>
          <w:u w:val="single"/>
        </w:rPr>
      </w:pPr>
      <w:r w:rsidRPr="00560845">
        <w:rPr>
          <w:b/>
          <w:bCs/>
          <w:color w:val="000000"/>
          <w:sz w:val="22"/>
          <w:szCs w:val="22"/>
          <w:u w:val="single"/>
        </w:rPr>
        <w:t>Altri adempimenti della nuova IMU</w:t>
      </w:r>
    </w:p>
    <w:p w14:paraId="4B98B1CD" w14:textId="77777777" w:rsidR="008D5E94" w:rsidRPr="00560845" w:rsidRDefault="008D5E94" w:rsidP="00560845">
      <w:pPr>
        <w:autoSpaceDE w:val="0"/>
        <w:autoSpaceDN w:val="0"/>
        <w:adjustRightInd w:val="0"/>
        <w:spacing w:after="120" w:line="259" w:lineRule="auto"/>
        <w:jc w:val="both"/>
        <w:rPr>
          <w:color w:val="000000"/>
          <w:sz w:val="22"/>
          <w:szCs w:val="22"/>
        </w:rPr>
      </w:pPr>
      <w:r w:rsidRPr="00560845">
        <w:rPr>
          <w:color w:val="000000"/>
          <w:sz w:val="22"/>
          <w:szCs w:val="22"/>
        </w:rPr>
        <w:t xml:space="preserve">Il </w:t>
      </w:r>
      <w:r w:rsidRPr="00560845">
        <w:rPr>
          <w:b/>
          <w:bCs/>
          <w:color w:val="000000"/>
          <w:sz w:val="22"/>
          <w:szCs w:val="22"/>
        </w:rPr>
        <w:t xml:space="preserve">termine di presentazione della dichiarazione </w:t>
      </w:r>
      <w:r w:rsidR="00FF5B8C" w:rsidRPr="00560845">
        <w:rPr>
          <w:b/>
          <w:bCs/>
          <w:color w:val="000000"/>
          <w:sz w:val="22"/>
          <w:szCs w:val="22"/>
        </w:rPr>
        <w:t xml:space="preserve">per l’IMU del 2020 è il </w:t>
      </w:r>
      <w:r w:rsidRPr="00560845">
        <w:rPr>
          <w:b/>
          <w:bCs/>
          <w:color w:val="000000"/>
          <w:sz w:val="22"/>
          <w:szCs w:val="22"/>
        </w:rPr>
        <w:t>30 giugno</w:t>
      </w:r>
      <w:r w:rsidR="00FF5B8C" w:rsidRPr="00560845">
        <w:rPr>
          <w:b/>
          <w:bCs/>
          <w:color w:val="000000"/>
          <w:sz w:val="22"/>
          <w:szCs w:val="22"/>
        </w:rPr>
        <w:t xml:space="preserve"> 2021</w:t>
      </w:r>
      <w:r w:rsidRPr="00560845">
        <w:rPr>
          <w:color w:val="000000"/>
          <w:sz w:val="22"/>
          <w:szCs w:val="22"/>
        </w:rPr>
        <w:t xml:space="preserve">, con possibilità di trasmissione, </w:t>
      </w:r>
      <w:r w:rsidRPr="00560845">
        <w:rPr>
          <w:b/>
          <w:bCs/>
          <w:color w:val="000000"/>
          <w:sz w:val="22"/>
          <w:szCs w:val="22"/>
        </w:rPr>
        <w:t>oltre che in forma cartacea, per via telematica</w:t>
      </w:r>
      <w:r w:rsidRPr="00560845">
        <w:rPr>
          <w:color w:val="000000"/>
          <w:sz w:val="22"/>
          <w:szCs w:val="22"/>
        </w:rPr>
        <w:t>. La</w:t>
      </w:r>
      <w:r w:rsidR="00325EB1" w:rsidRPr="00560845">
        <w:rPr>
          <w:color w:val="000000"/>
          <w:sz w:val="22"/>
          <w:szCs w:val="22"/>
        </w:rPr>
        <w:t xml:space="preserve"> </w:t>
      </w:r>
      <w:r w:rsidRPr="00560845">
        <w:rPr>
          <w:color w:val="000000"/>
          <w:sz w:val="22"/>
          <w:szCs w:val="22"/>
        </w:rPr>
        <w:t>dichiarazione vale anche per gli anni successivi, qualora non si verifichino modificazioni</w:t>
      </w:r>
      <w:r w:rsidR="00325EB1" w:rsidRPr="00560845">
        <w:rPr>
          <w:color w:val="000000"/>
          <w:sz w:val="22"/>
          <w:szCs w:val="22"/>
        </w:rPr>
        <w:t xml:space="preserve"> </w:t>
      </w:r>
      <w:r w:rsidRPr="00560845">
        <w:rPr>
          <w:color w:val="000000"/>
          <w:sz w:val="22"/>
          <w:szCs w:val="22"/>
        </w:rPr>
        <w:t>che incidono sull’imposta dovuta. Pertanto, se non sussistono modifiche sostanziali, sono</w:t>
      </w:r>
      <w:r w:rsidR="00FF5B8C" w:rsidRPr="00560845">
        <w:rPr>
          <w:color w:val="000000"/>
          <w:sz w:val="22"/>
          <w:szCs w:val="22"/>
        </w:rPr>
        <w:t xml:space="preserve"> </w:t>
      </w:r>
      <w:r w:rsidRPr="00560845">
        <w:rPr>
          <w:color w:val="000000"/>
          <w:sz w:val="22"/>
          <w:szCs w:val="22"/>
        </w:rPr>
        <w:t>confermate le dichiarazioni già</w:t>
      </w:r>
      <w:r w:rsidR="00FF5B8C" w:rsidRPr="00560845">
        <w:rPr>
          <w:color w:val="000000"/>
          <w:sz w:val="22"/>
          <w:szCs w:val="22"/>
        </w:rPr>
        <w:t xml:space="preserve"> presentate ai fini IMU e TASI.</w:t>
      </w:r>
    </w:p>
    <w:p w14:paraId="3BE9D652" w14:textId="77777777" w:rsidR="00AA3AA7" w:rsidRPr="00560845" w:rsidRDefault="00325EB1" w:rsidP="00BD425A">
      <w:pPr>
        <w:autoSpaceDE w:val="0"/>
        <w:autoSpaceDN w:val="0"/>
        <w:adjustRightInd w:val="0"/>
        <w:spacing w:after="60" w:line="259" w:lineRule="auto"/>
        <w:jc w:val="both"/>
        <w:rPr>
          <w:color w:val="004587"/>
          <w:sz w:val="22"/>
          <w:szCs w:val="22"/>
        </w:rPr>
      </w:pPr>
      <w:r w:rsidRPr="00560845">
        <w:rPr>
          <w:color w:val="000000"/>
          <w:sz w:val="22"/>
          <w:szCs w:val="22"/>
        </w:rPr>
        <w:t xml:space="preserve">Gli </w:t>
      </w:r>
      <w:r w:rsidR="008D5E94" w:rsidRPr="00560845">
        <w:rPr>
          <w:b/>
          <w:bCs/>
          <w:color w:val="000000"/>
          <w:sz w:val="22"/>
          <w:szCs w:val="22"/>
        </w:rPr>
        <w:t>enti non commerciali</w:t>
      </w:r>
      <w:r w:rsidR="008D5E94" w:rsidRPr="00560845">
        <w:rPr>
          <w:color w:val="000000"/>
          <w:sz w:val="22"/>
          <w:szCs w:val="22"/>
        </w:rPr>
        <w:t xml:space="preserve">, </w:t>
      </w:r>
      <w:r w:rsidR="00FF5B8C" w:rsidRPr="00560845">
        <w:rPr>
          <w:color w:val="000000"/>
          <w:sz w:val="22"/>
          <w:szCs w:val="22"/>
        </w:rPr>
        <w:t xml:space="preserve">a decorrere dall’anno d’imposta 2020, </w:t>
      </w:r>
      <w:r w:rsidR="008D5E94" w:rsidRPr="00560845">
        <w:rPr>
          <w:b/>
          <w:bCs/>
          <w:color w:val="000000"/>
          <w:sz w:val="22"/>
          <w:szCs w:val="22"/>
        </w:rPr>
        <w:t xml:space="preserve">dovranno presentare la dichiarazione ogni anno </w:t>
      </w:r>
      <w:r w:rsidR="008D5E94" w:rsidRPr="00560845">
        <w:rPr>
          <w:color w:val="000000"/>
          <w:sz w:val="22"/>
          <w:szCs w:val="22"/>
        </w:rPr>
        <w:t>e, nelle more dell’approvazione del</w:t>
      </w:r>
      <w:r w:rsidRPr="00560845">
        <w:rPr>
          <w:color w:val="000000"/>
          <w:sz w:val="22"/>
          <w:szCs w:val="22"/>
        </w:rPr>
        <w:t xml:space="preserve"> </w:t>
      </w:r>
      <w:r w:rsidR="008D5E94" w:rsidRPr="00560845">
        <w:rPr>
          <w:color w:val="000000"/>
          <w:sz w:val="22"/>
          <w:szCs w:val="22"/>
        </w:rPr>
        <w:t>nuovo modello, continueranno ad utilizzare quello disponibile.</w:t>
      </w:r>
    </w:p>
    <w:sectPr w:rsidR="00AA3AA7" w:rsidRPr="00560845" w:rsidSect="0056084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65837" w14:textId="77777777" w:rsidR="008024BF" w:rsidRDefault="008024BF">
      <w:r>
        <w:separator/>
      </w:r>
    </w:p>
  </w:endnote>
  <w:endnote w:type="continuationSeparator" w:id="0">
    <w:p w14:paraId="761BD4B3" w14:textId="77777777" w:rsidR="008024BF" w:rsidRDefault="0080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5FE41" w14:textId="77777777" w:rsidR="008024BF" w:rsidRDefault="008024BF">
      <w:r>
        <w:separator/>
      </w:r>
    </w:p>
  </w:footnote>
  <w:footnote w:type="continuationSeparator" w:id="0">
    <w:p w14:paraId="553ECCA5" w14:textId="77777777" w:rsidR="008024BF" w:rsidRDefault="008024BF">
      <w:r>
        <w:continuationSeparator/>
      </w:r>
    </w:p>
  </w:footnote>
  <w:footnote w:id="1">
    <w:p w14:paraId="7EBEABFE" w14:textId="77777777" w:rsidR="00000000" w:rsidRDefault="00E3438B" w:rsidP="00560845">
      <w:pPr>
        <w:pStyle w:val="Testonotaapidipagina"/>
        <w:ind w:left="284" w:hanging="284"/>
        <w:jc w:val="both"/>
      </w:pPr>
      <w:r w:rsidRPr="00560845">
        <w:rPr>
          <w:rStyle w:val="Rimandonotaapidipagina"/>
          <w:sz w:val="16"/>
          <w:szCs w:val="16"/>
          <w:vertAlign w:val="baseline"/>
        </w:rPr>
        <w:footnoteRef/>
      </w:r>
      <w:r w:rsidRPr="00560845">
        <w:rPr>
          <w:sz w:val="16"/>
          <w:szCs w:val="16"/>
        </w:rPr>
        <w:t xml:space="preserve"> </w:t>
      </w:r>
      <w:r w:rsidR="00560845">
        <w:rPr>
          <w:sz w:val="16"/>
          <w:szCs w:val="16"/>
        </w:rPr>
        <w:tab/>
      </w:r>
      <w:r w:rsidRPr="00560845">
        <w:rPr>
          <w:sz w:val="16"/>
          <w:szCs w:val="16"/>
        </w:rPr>
        <w:t>Questo punto 6 è facoltativo, quindi va eliminato se il Comune non inserisce la previsione nel regolamento della nuova IMU.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E10AA"/>
    <w:multiLevelType w:val="hybridMultilevel"/>
    <w:tmpl w:val="FFFFFFFF"/>
    <w:lvl w:ilvl="0" w:tplc="32CC3C9C">
      <w:start w:val="2"/>
      <w:numFmt w:val="bullet"/>
      <w:lvlText w:val="-"/>
      <w:lvlJc w:val="left"/>
      <w:pPr>
        <w:tabs>
          <w:tab w:val="num" w:pos="1428"/>
        </w:tabs>
        <w:ind w:left="1428" w:hanging="360"/>
      </w:pPr>
      <w:rPr>
        <w:rFonts w:ascii="Verdana" w:eastAsia="Times New Roman" w:hAnsi="Verdana"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5E4713E"/>
    <w:multiLevelType w:val="hybridMultilevel"/>
    <w:tmpl w:val="FFFFFFFF"/>
    <w:lvl w:ilvl="0" w:tplc="32CC3C9C">
      <w:start w:val="2"/>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DC344F"/>
    <w:multiLevelType w:val="hybridMultilevel"/>
    <w:tmpl w:val="FFFFFFFF"/>
    <w:lvl w:ilvl="0" w:tplc="32CC3C9C">
      <w:start w:val="2"/>
      <w:numFmt w:val="bullet"/>
      <w:lvlText w:val="-"/>
      <w:lvlJc w:val="left"/>
      <w:pPr>
        <w:tabs>
          <w:tab w:val="num" w:pos="1428"/>
        </w:tabs>
        <w:ind w:left="1428" w:hanging="360"/>
      </w:pPr>
      <w:rPr>
        <w:rFonts w:ascii="Verdana" w:eastAsia="Times New Roman" w:hAnsi="Verdana"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26A13121"/>
    <w:multiLevelType w:val="hybridMultilevel"/>
    <w:tmpl w:val="FFFFFFFF"/>
    <w:lvl w:ilvl="0" w:tplc="32CC3C9C">
      <w:start w:val="2"/>
      <w:numFmt w:val="bullet"/>
      <w:lvlText w:val="-"/>
      <w:lvlJc w:val="left"/>
      <w:pPr>
        <w:tabs>
          <w:tab w:val="num" w:pos="1428"/>
        </w:tabs>
        <w:ind w:left="1428" w:hanging="360"/>
      </w:pPr>
      <w:rPr>
        <w:rFonts w:ascii="Verdana" w:eastAsia="Times New Roman" w:hAnsi="Verdana"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3AEA6FBD"/>
    <w:multiLevelType w:val="hybridMultilevel"/>
    <w:tmpl w:val="FFFFFFFF"/>
    <w:lvl w:ilvl="0" w:tplc="AB7EB004">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B1413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1C2568"/>
    <w:multiLevelType w:val="hybridMultilevel"/>
    <w:tmpl w:val="FFFFFFFF"/>
    <w:lvl w:ilvl="0" w:tplc="32CC3C9C">
      <w:start w:val="2"/>
      <w:numFmt w:val="bullet"/>
      <w:lvlText w:val="-"/>
      <w:lvlJc w:val="left"/>
      <w:pPr>
        <w:tabs>
          <w:tab w:val="num" w:pos="1428"/>
        </w:tabs>
        <w:ind w:left="1428" w:hanging="360"/>
      </w:pPr>
      <w:rPr>
        <w:rFonts w:ascii="Verdana" w:eastAsia="Times New Roman" w:hAnsi="Verdana"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6DC74564"/>
    <w:multiLevelType w:val="hybridMultilevel"/>
    <w:tmpl w:val="FFFFFFFF"/>
    <w:lvl w:ilvl="0" w:tplc="32CC3C9C">
      <w:start w:val="2"/>
      <w:numFmt w:val="bullet"/>
      <w:lvlText w:val="-"/>
      <w:lvlJc w:val="left"/>
      <w:pPr>
        <w:tabs>
          <w:tab w:val="num" w:pos="1788"/>
        </w:tabs>
        <w:ind w:left="1788" w:hanging="360"/>
      </w:pPr>
      <w:rPr>
        <w:rFonts w:ascii="Verdana" w:eastAsia="Times New Roman" w:hAnsi="Verdana" w:hint="default"/>
      </w:rPr>
    </w:lvl>
    <w:lvl w:ilvl="1" w:tplc="04100003" w:tentative="1">
      <w:start w:val="1"/>
      <w:numFmt w:val="bullet"/>
      <w:lvlText w:val="o"/>
      <w:lvlJc w:val="left"/>
      <w:pPr>
        <w:tabs>
          <w:tab w:val="num" w:pos="2508"/>
        </w:tabs>
        <w:ind w:left="2508" w:hanging="360"/>
      </w:pPr>
      <w:rPr>
        <w:rFonts w:ascii="Courier New" w:hAnsi="Courier New" w:hint="default"/>
      </w:rPr>
    </w:lvl>
    <w:lvl w:ilvl="2" w:tplc="04100005" w:tentative="1">
      <w:start w:val="1"/>
      <w:numFmt w:val="bullet"/>
      <w:lvlText w:val=""/>
      <w:lvlJc w:val="left"/>
      <w:pPr>
        <w:tabs>
          <w:tab w:val="num" w:pos="3228"/>
        </w:tabs>
        <w:ind w:left="3228" w:hanging="360"/>
      </w:pPr>
      <w:rPr>
        <w:rFonts w:ascii="Wingdings" w:hAnsi="Wingdings" w:hint="default"/>
      </w:rPr>
    </w:lvl>
    <w:lvl w:ilvl="3" w:tplc="04100001" w:tentative="1">
      <w:start w:val="1"/>
      <w:numFmt w:val="bullet"/>
      <w:lvlText w:val=""/>
      <w:lvlJc w:val="left"/>
      <w:pPr>
        <w:tabs>
          <w:tab w:val="num" w:pos="3948"/>
        </w:tabs>
        <w:ind w:left="3948" w:hanging="360"/>
      </w:pPr>
      <w:rPr>
        <w:rFonts w:ascii="Symbol" w:hAnsi="Symbol" w:hint="default"/>
      </w:rPr>
    </w:lvl>
    <w:lvl w:ilvl="4" w:tplc="04100003" w:tentative="1">
      <w:start w:val="1"/>
      <w:numFmt w:val="bullet"/>
      <w:lvlText w:val="o"/>
      <w:lvlJc w:val="left"/>
      <w:pPr>
        <w:tabs>
          <w:tab w:val="num" w:pos="4668"/>
        </w:tabs>
        <w:ind w:left="4668" w:hanging="360"/>
      </w:pPr>
      <w:rPr>
        <w:rFonts w:ascii="Courier New" w:hAnsi="Courier New" w:hint="default"/>
      </w:rPr>
    </w:lvl>
    <w:lvl w:ilvl="5" w:tplc="04100005" w:tentative="1">
      <w:start w:val="1"/>
      <w:numFmt w:val="bullet"/>
      <w:lvlText w:val=""/>
      <w:lvlJc w:val="left"/>
      <w:pPr>
        <w:tabs>
          <w:tab w:val="num" w:pos="5388"/>
        </w:tabs>
        <w:ind w:left="5388" w:hanging="360"/>
      </w:pPr>
      <w:rPr>
        <w:rFonts w:ascii="Wingdings" w:hAnsi="Wingdings" w:hint="default"/>
      </w:rPr>
    </w:lvl>
    <w:lvl w:ilvl="6" w:tplc="04100001" w:tentative="1">
      <w:start w:val="1"/>
      <w:numFmt w:val="bullet"/>
      <w:lvlText w:val=""/>
      <w:lvlJc w:val="left"/>
      <w:pPr>
        <w:tabs>
          <w:tab w:val="num" w:pos="6108"/>
        </w:tabs>
        <w:ind w:left="6108" w:hanging="360"/>
      </w:pPr>
      <w:rPr>
        <w:rFonts w:ascii="Symbol" w:hAnsi="Symbol" w:hint="default"/>
      </w:rPr>
    </w:lvl>
    <w:lvl w:ilvl="7" w:tplc="04100003" w:tentative="1">
      <w:start w:val="1"/>
      <w:numFmt w:val="bullet"/>
      <w:lvlText w:val="o"/>
      <w:lvlJc w:val="left"/>
      <w:pPr>
        <w:tabs>
          <w:tab w:val="num" w:pos="6828"/>
        </w:tabs>
        <w:ind w:left="6828" w:hanging="360"/>
      </w:pPr>
      <w:rPr>
        <w:rFonts w:ascii="Courier New" w:hAnsi="Courier New" w:hint="default"/>
      </w:rPr>
    </w:lvl>
    <w:lvl w:ilvl="8" w:tplc="04100005" w:tentative="1">
      <w:start w:val="1"/>
      <w:numFmt w:val="bullet"/>
      <w:lvlText w:val=""/>
      <w:lvlJc w:val="left"/>
      <w:pPr>
        <w:tabs>
          <w:tab w:val="num" w:pos="7548"/>
        </w:tabs>
        <w:ind w:left="7548" w:hanging="360"/>
      </w:pPr>
      <w:rPr>
        <w:rFonts w:ascii="Wingdings" w:hAnsi="Wingdings" w:hint="default"/>
      </w:rPr>
    </w:lvl>
  </w:abstractNum>
  <w:abstractNum w:abstractNumId="8" w15:restartNumberingAfterBreak="0">
    <w:nsid w:val="7AFB512F"/>
    <w:multiLevelType w:val="hybridMultilevel"/>
    <w:tmpl w:val="FFFFFFFF"/>
    <w:lvl w:ilvl="0" w:tplc="32CC3C9C">
      <w:start w:val="2"/>
      <w:numFmt w:val="bullet"/>
      <w:lvlText w:val="-"/>
      <w:lvlJc w:val="left"/>
      <w:pPr>
        <w:tabs>
          <w:tab w:val="num" w:pos="1428"/>
        </w:tabs>
        <w:ind w:left="1428" w:hanging="360"/>
      </w:pPr>
      <w:rPr>
        <w:rFonts w:ascii="Verdana" w:eastAsia="Times New Roman" w:hAnsi="Verdana"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num w:numId="1" w16cid:durableId="236092056">
    <w:abstractNumId w:val="4"/>
  </w:num>
  <w:num w:numId="2" w16cid:durableId="1855536150">
    <w:abstractNumId w:val="1"/>
  </w:num>
  <w:num w:numId="3" w16cid:durableId="1442917567">
    <w:abstractNumId w:val="5"/>
  </w:num>
  <w:num w:numId="4" w16cid:durableId="1502238480">
    <w:abstractNumId w:val="3"/>
  </w:num>
  <w:num w:numId="5" w16cid:durableId="1117334026">
    <w:abstractNumId w:val="2"/>
  </w:num>
  <w:num w:numId="6" w16cid:durableId="1793282501">
    <w:abstractNumId w:val="0"/>
  </w:num>
  <w:num w:numId="7" w16cid:durableId="854535285">
    <w:abstractNumId w:val="8"/>
  </w:num>
  <w:num w:numId="8" w16cid:durableId="1278177819">
    <w:abstractNumId w:val="6"/>
  </w:num>
  <w:num w:numId="9" w16cid:durableId="13817136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5E94"/>
    <w:rsid w:val="000452FB"/>
    <w:rsid w:val="000C3F14"/>
    <w:rsid w:val="00114810"/>
    <w:rsid w:val="0017548D"/>
    <w:rsid w:val="001A4527"/>
    <w:rsid w:val="001D1F8D"/>
    <w:rsid w:val="002B1787"/>
    <w:rsid w:val="002C516B"/>
    <w:rsid w:val="00315D6E"/>
    <w:rsid w:val="00325EB1"/>
    <w:rsid w:val="003310D9"/>
    <w:rsid w:val="003E5DC6"/>
    <w:rsid w:val="004515F1"/>
    <w:rsid w:val="004A64E3"/>
    <w:rsid w:val="005133F9"/>
    <w:rsid w:val="00560845"/>
    <w:rsid w:val="005D4037"/>
    <w:rsid w:val="005E6E5A"/>
    <w:rsid w:val="00603ED5"/>
    <w:rsid w:val="00657AA5"/>
    <w:rsid w:val="006B1DA1"/>
    <w:rsid w:val="0072018C"/>
    <w:rsid w:val="007E1D7D"/>
    <w:rsid w:val="008024BF"/>
    <w:rsid w:val="008A0BE9"/>
    <w:rsid w:val="008D5E94"/>
    <w:rsid w:val="009C67EC"/>
    <w:rsid w:val="00A80435"/>
    <w:rsid w:val="00AA3AA7"/>
    <w:rsid w:val="00AE6F22"/>
    <w:rsid w:val="00AF256C"/>
    <w:rsid w:val="00AF5A9E"/>
    <w:rsid w:val="00B00D40"/>
    <w:rsid w:val="00B555F2"/>
    <w:rsid w:val="00BD1800"/>
    <w:rsid w:val="00BD425A"/>
    <w:rsid w:val="00C13193"/>
    <w:rsid w:val="00CF37BA"/>
    <w:rsid w:val="00E3438B"/>
    <w:rsid w:val="00EF44B3"/>
    <w:rsid w:val="00FE3A61"/>
    <w:rsid w:val="00FF5B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77FE93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rsid w:val="005D4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semiHidden/>
    <w:locked/>
    <w:rPr>
      <w:rFonts w:ascii="Courier New" w:hAnsi="Courier New" w:cs="Courier New"/>
    </w:rPr>
  </w:style>
  <w:style w:type="character" w:styleId="Collegamentoipertestuale">
    <w:name w:val="Hyperlink"/>
    <w:uiPriority w:val="99"/>
    <w:rsid w:val="000452FB"/>
    <w:rPr>
      <w:rFonts w:cs="Times New Roman"/>
      <w:color w:val="0000FF"/>
      <w:u w:val="single"/>
    </w:rPr>
  </w:style>
  <w:style w:type="paragraph" w:styleId="NormaleWeb">
    <w:name w:val="Normal (Web)"/>
    <w:basedOn w:val="Normale"/>
    <w:uiPriority w:val="99"/>
    <w:rsid w:val="00A80435"/>
    <w:pPr>
      <w:spacing w:before="100" w:beforeAutospacing="1" w:after="100" w:afterAutospacing="1"/>
    </w:pPr>
  </w:style>
  <w:style w:type="character" w:styleId="Enfasigrassetto">
    <w:name w:val="Strong"/>
    <w:uiPriority w:val="22"/>
    <w:qFormat/>
    <w:rsid w:val="00A80435"/>
    <w:rPr>
      <w:rFonts w:cs="Times New Roman"/>
      <w:b/>
      <w:bCs/>
    </w:rPr>
  </w:style>
  <w:style w:type="paragraph" w:styleId="Testonotaapidipagina">
    <w:name w:val="footnote text"/>
    <w:basedOn w:val="Normale"/>
    <w:link w:val="TestonotaapidipaginaCarattere"/>
    <w:uiPriority w:val="99"/>
    <w:semiHidden/>
    <w:rsid w:val="004515F1"/>
    <w:rPr>
      <w:sz w:val="20"/>
      <w:szCs w:val="20"/>
    </w:rPr>
  </w:style>
  <w:style w:type="character" w:customStyle="1" w:styleId="TestonotaapidipaginaCarattere">
    <w:name w:val="Testo nota a piè di pagina Carattere"/>
    <w:link w:val="Testonotaapidipagina"/>
    <w:uiPriority w:val="99"/>
    <w:semiHidden/>
    <w:locked/>
    <w:rPr>
      <w:rFonts w:cs="Times New Roman"/>
    </w:rPr>
  </w:style>
  <w:style w:type="character" w:styleId="Rimandonotaapidipagina">
    <w:name w:val="footnote reference"/>
    <w:uiPriority w:val="99"/>
    <w:semiHidden/>
    <w:rsid w:val="004515F1"/>
    <w:rPr>
      <w:rFonts w:cs="Times New Roman"/>
      <w:vertAlign w:val="superscript"/>
    </w:rPr>
  </w:style>
  <w:style w:type="paragraph" w:styleId="Intestazione">
    <w:name w:val="header"/>
    <w:basedOn w:val="Normale"/>
    <w:link w:val="IntestazioneCarattere"/>
    <w:uiPriority w:val="99"/>
    <w:rsid w:val="00560845"/>
    <w:pPr>
      <w:tabs>
        <w:tab w:val="center" w:pos="4819"/>
        <w:tab w:val="right" w:pos="9638"/>
      </w:tabs>
    </w:pPr>
  </w:style>
  <w:style w:type="character" w:customStyle="1" w:styleId="IntestazioneCarattere">
    <w:name w:val="Intestazione Carattere"/>
    <w:link w:val="Intestazione"/>
    <w:uiPriority w:val="99"/>
    <w:locked/>
    <w:rsid w:val="00560845"/>
    <w:rPr>
      <w:rFonts w:cs="Times New Roman"/>
      <w:sz w:val="24"/>
      <w:szCs w:val="24"/>
    </w:rPr>
  </w:style>
  <w:style w:type="paragraph" w:styleId="Pidipagina">
    <w:name w:val="footer"/>
    <w:basedOn w:val="Normale"/>
    <w:link w:val="PidipaginaCarattere"/>
    <w:uiPriority w:val="99"/>
    <w:rsid w:val="00560845"/>
    <w:pPr>
      <w:tabs>
        <w:tab w:val="center" w:pos="4819"/>
        <w:tab w:val="right" w:pos="9638"/>
      </w:tabs>
    </w:pPr>
  </w:style>
  <w:style w:type="character" w:customStyle="1" w:styleId="PidipaginaCarattere">
    <w:name w:val="Piè di pagina Carattere"/>
    <w:link w:val="Pidipagina"/>
    <w:uiPriority w:val="99"/>
    <w:locked/>
    <w:rsid w:val="00560845"/>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08621">
      <w:marLeft w:val="0"/>
      <w:marRight w:val="0"/>
      <w:marTop w:val="0"/>
      <w:marBottom w:val="0"/>
      <w:divBdr>
        <w:top w:val="none" w:sz="0" w:space="0" w:color="auto"/>
        <w:left w:val="none" w:sz="0" w:space="0" w:color="auto"/>
        <w:bottom w:val="none" w:sz="0" w:space="0" w:color="auto"/>
        <w:right w:val="none" w:sz="0" w:space="0" w:color="auto"/>
      </w:divBdr>
      <w:divsChild>
        <w:div w:id="2039508622">
          <w:marLeft w:val="0"/>
          <w:marRight w:val="0"/>
          <w:marTop w:val="0"/>
          <w:marBottom w:val="0"/>
          <w:divBdr>
            <w:top w:val="none" w:sz="0" w:space="0" w:color="auto"/>
            <w:left w:val="none" w:sz="0" w:space="0" w:color="auto"/>
            <w:bottom w:val="none" w:sz="0" w:space="0" w:color="auto"/>
            <w:right w:val="none" w:sz="0" w:space="0" w:color="auto"/>
          </w:divBdr>
        </w:div>
        <w:div w:id="2039508638">
          <w:marLeft w:val="0"/>
          <w:marRight w:val="0"/>
          <w:marTop w:val="0"/>
          <w:marBottom w:val="0"/>
          <w:divBdr>
            <w:top w:val="none" w:sz="0" w:space="0" w:color="auto"/>
            <w:left w:val="none" w:sz="0" w:space="0" w:color="auto"/>
            <w:bottom w:val="none" w:sz="0" w:space="0" w:color="auto"/>
            <w:right w:val="none" w:sz="0" w:space="0" w:color="auto"/>
          </w:divBdr>
          <w:divsChild>
            <w:div w:id="2039508620">
              <w:marLeft w:val="0"/>
              <w:marRight w:val="0"/>
              <w:marTop w:val="240"/>
              <w:marBottom w:val="0"/>
              <w:divBdr>
                <w:top w:val="none" w:sz="0" w:space="0" w:color="auto"/>
                <w:left w:val="none" w:sz="0" w:space="0" w:color="auto"/>
                <w:bottom w:val="none" w:sz="0" w:space="0" w:color="auto"/>
                <w:right w:val="none" w:sz="0" w:space="0" w:color="auto"/>
              </w:divBdr>
            </w:div>
          </w:divsChild>
        </w:div>
        <w:div w:id="2039508639">
          <w:marLeft w:val="0"/>
          <w:marRight w:val="0"/>
          <w:marTop w:val="0"/>
          <w:marBottom w:val="0"/>
          <w:divBdr>
            <w:top w:val="none" w:sz="0" w:space="0" w:color="auto"/>
            <w:left w:val="none" w:sz="0" w:space="0" w:color="auto"/>
            <w:bottom w:val="none" w:sz="0" w:space="0" w:color="auto"/>
            <w:right w:val="none" w:sz="0" w:space="0" w:color="auto"/>
          </w:divBdr>
          <w:divsChild>
            <w:div w:id="2039508623">
              <w:marLeft w:val="0"/>
              <w:marRight w:val="0"/>
              <w:marTop w:val="240"/>
              <w:marBottom w:val="0"/>
              <w:divBdr>
                <w:top w:val="none" w:sz="0" w:space="0" w:color="auto"/>
                <w:left w:val="none" w:sz="0" w:space="0" w:color="auto"/>
                <w:bottom w:val="none" w:sz="0" w:space="0" w:color="auto"/>
                <w:right w:val="none" w:sz="0" w:space="0" w:color="auto"/>
              </w:divBdr>
            </w:div>
          </w:divsChild>
        </w:div>
        <w:div w:id="2039508640">
          <w:marLeft w:val="0"/>
          <w:marRight w:val="0"/>
          <w:marTop w:val="0"/>
          <w:marBottom w:val="0"/>
          <w:divBdr>
            <w:top w:val="none" w:sz="0" w:space="0" w:color="auto"/>
            <w:left w:val="none" w:sz="0" w:space="0" w:color="auto"/>
            <w:bottom w:val="none" w:sz="0" w:space="0" w:color="auto"/>
            <w:right w:val="none" w:sz="0" w:space="0" w:color="auto"/>
          </w:divBdr>
        </w:div>
      </w:divsChild>
    </w:div>
    <w:div w:id="2039508625">
      <w:marLeft w:val="0"/>
      <w:marRight w:val="0"/>
      <w:marTop w:val="0"/>
      <w:marBottom w:val="0"/>
      <w:divBdr>
        <w:top w:val="none" w:sz="0" w:space="0" w:color="auto"/>
        <w:left w:val="none" w:sz="0" w:space="0" w:color="auto"/>
        <w:bottom w:val="none" w:sz="0" w:space="0" w:color="auto"/>
        <w:right w:val="none" w:sz="0" w:space="0" w:color="auto"/>
      </w:divBdr>
    </w:div>
    <w:div w:id="2039508626">
      <w:marLeft w:val="0"/>
      <w:marRight w:val="0"/>
      <w:marTop w:val="0"/>
      <w:marBottom w:val="0"/>
      <w:divBdr>
        <w:top w:val="none" w:sz="0" w:space="0" w:color="auto"/>
        <w:left w:val="none" w:sz="0" w:space="0" w:color="auto"/>
        <w:bottom w:val="none" w:sz="0" w:space="0" w:color="auto"/>
        <w:right w:val="none" w:sz="0" w:space="0" w:color="auto"/>
      </w:divBdr>
    </w:div>
    <w:div w:id="2039508627">
      <w:marLeft w:val="0"/>
      <w:marRight w:val="0"/>
      <w:marTop w:val="0"/>
      <w:marBottom w:val="0"/>
      <w:divBdr>
        <w:top w:val="none" w:sz="0" w:space="0" w:color="auto"/>
        <w:left w:val="none" w:sz="0" w:space="0" w:color="auto"/>
        <w:bottom w:val="none" w:sz="0" w:space="0" w:color="auto"/>
        <w:right w:val="none" w:sz="0" w:space="0" w:color="auto"/>
      </w:divBdr>
    </w:div>
    <w:div w:id="2039508628">
      <w:marLeft w:val="0"/>
      <w:marRight w:val="0"/>
      <w:marTop w:val="0"/>
      <w:marBottom w:val="0"/>
      <w:divBdr>
        <w:top w:val="none" w:sz="0" w:space="0" w:color="auto"/>
        <w:left w:val="none" w:sz="0" w:space="0" w:color="auto"/>
        <w:bottom w:val="none" w:sz="0" w:space="0" w:color="auto"/>
        <w:right w:val="none" w:sz="0" w:space="0" w:color="auto"/>
      </w:divBdr>
    </w:div>
    <w:div w:id="2039508629">
      <w:marLeft w:val="0"/>
      <w:marRight w:val="0"/>
      <w:marTop w:val="0"/>
      <w:marBottom w:val="0"/>
      <w:divBdr>
        <w:top w:val="none" w:sz="0" w:space="0" w:color="auto"/>
        <w:left w:val="none" w:sz="0" w:space="0" w:color="auto"/>
        <w:bottom w:val="none" w:sz="0" w:space="0" w:color="auto"/>
        <w:right w:val="none" w:sz="0" w:space="0" w:color="auto"/>
      </w:divBdr>
    </w:div>
    <w:div w:id="2039508630">
      <w:marLeft w:val="0"/>
      <w:marRight w:val="0"/>
      <w:marTop w:val="0"/>
      <w:marBottom w:val="0"/>
      <w:divBdr>
        <w:top w:val="none" w:sz="0" w:space="0" w:color="auto"/>
        <w:left w:val="none" w:sz="0" w:space="0" w:color="auto"/>
        <w:bottom w:val="none" w:sz="0" w:space="0" w:color="auto"/>
        <w:right w:val="none" w:sz="0" w:space="0" w:color="auto"/>
      </w:divBdr>
    </w:div>
    <w:div w:id="2039508631">
      <w:marLeft w:val="0"/>
      <w:marRight w:val="0"/>
      <w:marTop w:val="0"/>
      <w:marBottom w:val="0"/>
      <w:divBdr>
        <w:top w:val="none" w:sz="0" w:space="0" w:color="auto"/>
        <w:left w:val="none" w:sz="0" w:space="0" w:color="auto"/>
        <w:bottom w:val="none" w:sz="0" w:space="0" w:color="auto"/>
        <w:right w:val="none" w:sz="0" w:space="0" w:color="auto"/>
      </w:divBdr>
      <w:divsChild>
        <w:div w:id="2039508624">
          <w:marLeft w:val="0"/>
          <w:marRight w:val="0"/>
          <w:marTop w:val="0"/>
          <w:marBottom w:val="0"/>
          <w:divBdr>
            <w:top w:val="none" w:sz="0" w:space="0" w:color="auto"/>
            <w:left w:val="none" w:sz="0" w:space="0" w:color="auto"/>
            <w:bottom w:val="none" w:sz="0" w:space="0" w:color="auto"/>
            <w:right w:val="none" w:sz="0" w:space="0" w:color="auto"/>
          </w:divBdr>
        </w:div>
        <w:div w:id="2039508636">
          <w:marLeft w:val="0"/>
          <w:marRight w:val="0"/>
          <w:marTop w:val="0"/>
          <w:marBottom w:val="0"/>
          <w:divBdr>
            <w:top w:val="none" w:sz="0" w:space="0" w:color="auto"/>
            <w:left w:val="none" w:sz="0" w:space="0" w:color="auto"/>
            <w:bottom w:val="none" w:sz="0" w:space="0" w:color="auto"/>
            <w:right w:val="none" w:sz="0" w:space="0" w:color="auto"/>
          </w:divBdr>
        </w:div>
      </w:divsChild>
    </w:div>
    <w:div w:id="2039508632">
      <w:marLeft w:val="0"/>
      <w:marRight w:val="0"/>
      <w:marTop w:val="0"/>
      <w:marBottom w:val="0"/>
      <w:divBdr>
        <w:top w:val="none" w:sz="0" w:space="0" w:color="auto"/>
        <w:left w:val="none" w:sz="0" w:space="0" w:color="auto"/>
        <w:bottom w:val="none" w:sz="0" w:space="0" w:color="auto"/>
        <w:right w:val="none" w:sz="0" w:space="0" w:color="auto"/>
      </w:divBdr>
    </w:div>
    <w:div w:id="2039508633">
      <w:marLeft w:val="0"/>
      <w:marRight w:val="0"/>
      <w:marTop w:val="0"/>
      <w:marBottom w:val="0"/>
      <w:divBdr>
        <w:top w:val="none" w:sz="0" w:space="0" w:color="auto"/>
        <w:left w:val="none" w:sz="0" w:space="0" w:color="auto"/>
        <w:bottom w:val="none" w:sz="0" w:space="0" w:color="auto"/>
        <w:right w:val="none" w:sz="0" w:space="0" w:color="auto"/>
      </w:divBdr>
    </w:div>
    <w:div w:id="2039508634">
      <w:marLeft w:val="0"/>
      <w:marRight w:val="0"/>
      <w:marTop w:val="0"/>
      <w:marBottom w:val="0"/>
      <w:divBdr>
        <w:top w:val="none" w:sz="0" w:space="0" w:color="auto"/>
        <w:left w:val="none" w:sz="0" w:space="0" w:color="auto"/>
        <w:bottom w:val="none" w:sz="0" w:space="0" w:color="auto"/>
        <w:right w:val="none" w:sz="0" w:space="0" w:color="auto"/>
      </w:divBdr>
    </w:div>
    <w:div w:id="2039508635">
      <w:marLeft w:val="0"/>
      <w:marRight w:val="0"/>
      <w:marTop w:val="0"/>
      <w:marBottom w:val="0"/>
      <w:divBdr>
        <w:top w:val="none" w:sz="0" w:space="0" w:color="auto"/>
        <w:left w:val="none" w:sz="0" w:space="0" w:color="auto"/>
        <w:bottom w:val="none" w:sz="0" w:space="0" w:color="auto"/>
        <w:right w:val="none" w:sz="0" w:space="0" w:color="auto"/>
      </w:divBdr>
    </w:div>
    <w:div w:id="20395086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encrypted-tbn0.gstatic.com/images?q=tbn%3AANd9GcTNiRdye1-sV3L58BcCV6yt3PepJGddwbssLsoU4kztEI2cNyx1&amp;usqp=C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home.ilfisco.it/perl/fol-new.pl?cmd-doc=201245%20omenkey%280%3A1%2A%2A%29%20%5B0%5D;log-ckey=%2414025159;log-ssckey=32a7850dfbe12ab2d01bc4d10fee2a44-561" TargetMode="External"/><Relationship Id="rId4" Type="http://schemas.openxmlformats.org/officeDocument/2006/relationships/webSettings" Target="webSettings.xml"/><Relationship Id="rId9" Type="http://schemas.openxmlformats.org/officeDocument/2006/relationships/hyperlink" Target="http://home.ilfisco.it/perl/fol-new.pl?cmd-doc=402176%20omenkey%280%3A1%2A%2A%29%20%5B0%5D;log-ssckey=5eb6635699ca8ae44bb5a211849b85f2-586;log-ckey=%241402515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2006</Words>
  <Characters>11435</Characters>
  <Application>Microsoft Office Word</Application>
  <DocSecurity>0</DocSecurity>
  <Lines>95</Lines>
  <Paragraphs>26</Paragraphs>
  <ScaleCrop>false</ScaleCrop>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2022-05-03T07:43:00Z</dcterms:created>
  <dcterms:modified xsi:type="dcterms:W3CDTF">2022-05-03T07:43:00Z</dcterms:modified>
</cp:coreProperties>
</file>